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373E1" w14:textId="77777777" w:rsidR="00C7090D" w:rsidRPr="000114B5" w:rsidRDefault="004F6FC5" w:rsidP="005B2ADA">
      <w:pPr>
        <w:spacing w:after="0" w:line="360" w:lineRule="auto"/>
        <w:rPr>
          <w:rFonts w:asciiTheme="majorHAnsi" w:hAnsiTheme="majorHAnsi"/>
          <w:sz w:val="24"/>
          <w:szCs w:val="24"/>
        </w:rPr>
      </w:pPr>
      <w:r w:rsidRPr="000114B5">
        <w:rPr>
          <w:rFonts w:asciiTheme="majorHAnsi" w:hAnsiTheme="majorHAnsi"/>
          <w:sz w:val="24"/>
          <w:szCs w:val="24"/>
        </w:rPr>
        <w:t>Andy Whetzel &amp; Elena Weinberg</w:t>
      </w:r>
    </w:p>
    <w:p w14:paraId="6C6164A3" w14:textId="77777777" w:rsidR="004F6FC5" w:rsidRPr="000114B5" w:rsidRDefault="004F6FC5" w:rsidP="005B2ADA">
      <w:pPr>
        <w:spacing w:after="0" w:line="360" w:lineRule="auto"/>
        <w:rPr>
          <w:rFonts w:asciiTheme="majorHAnsi" w:hAnsiTheme="majorHAnsi"/>
          <w:sz w:val="24"/>
          <w:szCs w:val="24"/>
        </w:rPr>
      </w:pPr>
      <w:r w:rsidRPr="000114B5">
        <w:rPr>
          <w:rFonts w:asciiTheme="majorHAnsi" w:hAnsiTheme="majorHAnsi"/>
          <w:sz w:val="24"/>
          <w:szCs w:val="24"/>
        </w:rPr>
        <w:t>Design Review II</w:t>
      </w:r>
    </w:p>
    <w:p w14:paraId="7D1F678B" w14:textId="3AB91D7C" w:rsidR="000114B5" w:rsidRDefault="002B147C" w:rsidP="00AE0F9A">
      <w:pPr>
        <w:spacing w:after="0" w:line="360" w:lineRule="auto"/>
        <w:rPr>
          <w:rFonts w:asciiTheme="majorHAnsi" w:hAnsiTheme="majorHAnsi"/>
          <w:sz w:val="24"/>
          <w:szCs w:val="24"/>
        </w:rPr>
      </w:pPr>
      <w:r w:rsidRPr="000114B5">
        <w:rPr>
          <w:rFonts w:asciiTheme="majorHAnsi" w:hAnsiTheme="majorHAnsi"/>
          <w:sz w:val="24"/>
          <w:szCs w:val="24"/>
        </w:rPr>
        <w:t>11/12</w:t>
      </w:r>
      <w:r w:rsidR="00DB2637" w:rsidRPr="000114B5">
        <w:rPr>
          <w:rFonts w:asciiTheme="majorHAnsi" w:hAnsiTheme="majorHAnsi"/>
          <w:sz w:val="24"/>
          <w:szCs w:val="24"/>
        </w:rPr>
        <w:t>/13</w:t>
      </w:r>
    </w:p>
    <w:p w14:paraId="017FCD63" w14:textId="1EF70CEF" w:rsidR="00BB2620" w:rsidRPr="00BB2620" w:rsidRDefault="00BB2620" w:rsidP="00BB2620">
      <w:pPr>
        <w:spacing w:after="0" w:line="240" w:lineRule="auto"/>
        <w:jc w:val="center"/>
        <w:rPr>
          <w:rFonts w:asciiTheme="majorHAnsi" w:hAnsiTheme="majorHAnsi"/>
          <w:b/>
          <w:sz w:val="24"/>
          <w:szCs w:val="24"/>
        </w:rPr>
      </w:pPr>
      <w:r>
        <w:rPr>
          <w:rFonts w:asciiTheme="majorHAnsi" w:hAnsiTheme="majorHAnsi"/>
          <w:b/>
          <w:sz w:val="24"/>
          <w:szCs w:val="24"/>
        </w:rPr>
        <w:t>SUMMARIES</w:t>
      </w:r>
    </w:p>
    <w:p w14:paraId="770E7A89" w14:textId="77777777" w:rsidR="00BB2620" w:rsidRPr="000114B5" w:rsidRDefault="00BB2620" w:rsidP="000114B5">
      <w:pPr>
        <w:spacing w:after="0" w:line="240" w:lineRule="auto"/>
        <w:rPr>
          <w:rFonts w:asciiTheme="majorHAnsi" w:hAnsiTheme="majorHAnsi"/>
          <w:sz w:val="24"/>
          <w:szCs w:val="24"/>
        </w:rPr>
      </w:pPr>
    </w:p>
    <w:p w14:paraId="0B98D19B" w14:textId="7E0525D5" w:rsidR="003765C9" w:rsidRPr="0046407C" w:rsidRDefault="003765C9" w:rsidP="003765C9">
      <w:pPr>
        <w:jc w:val="center"/>
        <w:rPr>
          <w:rFonts w:asciiTheme="majorHAnsi" w:hAnsiTheme="majorHAnsi"/>
          <w:sz w:val="24"/>
          <w:szCs w:val="24"/>
          <w:u w:val="single"/>
        </w:rPr>
      </w:pPr>
      <w:r w:rsidRPr="0046407C">
        <w:rPr>
          <w:rFonts w:asciiTheme="majorHAnsi" w:hAnsiTheme="majorHAnsi"/>
          <w:sz w:val="24"/>
          <w:szCs w:val="24"/>
          <w:u w:val="single"/>
        </w:rPr>
        <w:t xml:space="preserve">A 175 mV Multi-Accumulate Unit Using an Adaptive Supply Voltage and Body Bias </w:t>
      </w:r>
      <w:r w:rsidR="007E369C" w:rsidRPr="0046407C">
        <w:rPr>
          <w:rFonts w:asciiTheme="majorHAnsi" w:hAnsiTheme="majorHAnsi"/>
          <w:sz w:val="24"/>
          <w:szCs w:val="24"/>
          <w:u w:val="single"/>
        </w:rPr>
        <w:t>Architecture</w:t>
      </w:r>
      <w:r w:rsidR="007E369C" w:rsidRPr="0046407C">
        <w:rPr>
          <w:rFonts w:asciiTheme="majorHAnsi" w:hAnsiTheme="majorHAnsi"/>
          <w:sz w:val="24"/>
          <w:szCs w:val="24"/>
          <w:vertAlign w:val="superscript"/>
        </w:rPr>
        <w:t xml:space="preserve"> [</w:t>
      </w:r>
      <w:r w:rsidRPr="0046407C">
        <w:rPr>
          <w:rFonts w:asciiTheme="majorHAnsi" w:hAnsiTheme="majorHAnsi"/>
          <w:sz w:val="24"/>
          <w:szCs w:val="24"/>
          <w:vertAlign w:val="superscript"/>
        </w:rPr>
        <w:t>1]</w:t>
      </w:r>
    </w:p>
    <w:p w14:paraId="00ADE0DC" w14:textId="08F2D2B3" w:rsidR="003765C9" w:rsidRPr="0046407C" w:rsidRDefault="003765C9" w:rsidP="003765C9">
      <w:pPr>
        <w:rPr>
          <w:rFonts w:asciiTheme="majorHAnsi" w:hAnsiTheme="majorHAnsi"/>
          <w:sz w:val="24"/>
          <w:szCs w:val="24"/>
        </w:rPr>
      </w:pPr>
      <w:r w:rsidRPr="0046407C">
        <w:rPr>
          <w:rFonts w:asciiTheme="majorHAnsi" w:hAnsiTheme="majorHAnsi"/>
          <w:b/>
          <w:sz w:val="24"/>
          <w:szCs w:val="24"/>
        </w:rPr>
        <w:t>Synopsys:</w:t>
      </w:r>
      <w:r w:rsidRPr="0046407C">
        <w:rPr>
          <w:rFonts w:asciiTheme="majorHAnsi" w:hAnsiTheme="majorHAnsi"/>
          <w:sz w:val="24"/>
          <w:szCs w:val="24"/>
        </w:rPr>
        <w:t xml:space="preserve">  This paper discusses a method for reducing power by varying both the supply voltage on a chip and the threshold voltages of the transistors.  The authors propose an optimization curve</w:t>
      </w:r>
      <w:r w:rsidR="00D4428E" w:rsidRPr="0046407C">
        <w:rPr>
          <w:rFonts w:asciiTheme="majorHAnsi" w:hAnsiTheme="majorHAnsi"/>
          <w:sz w:val="24"/>
          <w:szCs w:val="24"/>
        </w:rPr>
        <w:t>,</w:t>
      </w:r>
      <w:r w:rsidRPr="0046407C">
        <w:rPr>
          <w:rFonts w:asciiTheme="majorHAnsi" w:hAnsiTheme="majorHAnsi"/>
          <w:sz w:val="24"/>
          <w:szCs w:val="24"/>
        </w:rPr>
        <w:t xml:space="preserve"> which can maximally reduce total power (active and leakage) on a chip.  The supply and threshold voltages were manually variable; the threshold voltage was controlled by a body bias voltage applied to both nMOS and pMOS transistors.</w:t>
      </w:r>
    </w:p>
    <w:p w14:paraId="51882CDF" w14:textId="61274964" w:rsidR="003765C9" w:rsidRPr="0046407C" w:rsidRDefault="003765C9" w:rsidP="003765C9">
      <w:pPr>
        <w:rPr>
          <w:rFonts w:asciiTheme="majorHAnsi" w:hAnsiTheme="majorHAnsi"/>
          <w:sz w:val="24"/>
          <w:szCs w:val="24"/>
        </w:rPr>
      </w:pPr>
      <w:r w:rsidRPr="0046407C">
        <w:rPr>
          <w:rFonts w:asciiTheme="majorHAnsi" w:hAnsiTheme="majorHAnsi"/>
          <w:b/>
          <w:sz w:val="24"/>
          <w:szCs w:val="24"/>
        </w:rPr>
        <w:t>Take-Aways:</w:t>
      </w:r>
      <w:r w:rsidRPr="0046407C">
        <w:rPr>
          <w:rFonts w:asciiTheme="majorHAnsi" w:hAnsiTheme="majorHAnsi"/>
          <w:sz w:val="24"/>
          <w:szCs w:val="24"/>
        </w:rPr>
        <w:t xml:space="preserve">  This paper points out that leakage power becomes a larger part of the total power of a chip as the supply voltage is decreased.  It is important to evaluate how changes in supply and threshold voltages </w:t>
      </w:r>
      <w:r w:rsidR="00327E82" w:rsidRPr="0046407C">
        <w:rPr>
          <w:rFonts w:asciiTheme="majorHAnsi" w:hAnsiTheme="majorHAnsi"/>
          <w:sz w:val="24"/>
          <w:szCs w:val="24"/>
        </w:rPr>
        <w:t>a</w:t>
      </w:r>
      <w:r w:rsidRPr="0046407C">
        <w:rPr>
          <w:rFonts w:asciiTheme="majorHAnsi" w:hAnsiTheme="majorHAnsi"/>
          <w:sz w:val="24"/>
          <w:szCs w:val="24"/>
        </w:rPr>
        <w:t xml:space="preserve">ffect the performance of a circuit, and to ensure that minimum performance specs are being met as these voltages are scaled. </w:t>
      </w:r>
    </w:p>
    <w:p w14:paraId="3CACB245" w14:textId="27D1DC07" w:rsidR="00F814D6" w:rsidRPr="0046407C" w:rsidRDefault="003765C9" w:rsidP="003765C9">
      <w:pPr>
        <w:jc w:val="center"/>
        <w:rPr>
          <w:rFonts w:asciiTheme="majorHAnsi" w:hAnsiTheme="majorHAnsi"/>
          <w:sz w:val="24"/>
          <w:szCs w:val="24"/>
          <w:u w:val="single"/>
        </w:rPr>
      </w:pPr>
      <w:r w:rsidRPr="0046407C">
        <w:rPr>
          <w:rFonts w:asciiTheme="majorHAnsi" w:hAnsiTheme="majorHAnsi"/>
          <w:sz w:val="24"/>
          <w:szCs w:val="24"/>
          <w:u w:val="single"/>
        </w:rPr>
        <w:t>Comparison of Adaptive Body Bias (ABB) and Adaptive Supply Voltage (ASV) for Improving Delay and Leakage Under the Presence of Process</w:t>
      </w:r>
      <w:r w:rsidR="00F814D6" w:rsidRPr="0046407C">
        <w:rPr>
          <w:rFonts w:asciiTheme="majorHAnsi" w:hAnsiTheme="majorHAnsi"/>
          <w:sz w:val="24"/>
          <w:szCs w:val="24"/>
          <w:u w:val="single"/>
        </w:rPr>
        <w:t xml:space="preserve"> </w:t>
      </w:r>
      <w:r w:rsidR="007E369C" w:rsidRPr="0046407C">
        <w:rPr>
          <w:rFonts w:asciiTheme="majorHAnsi" w:hAnsiTheme="majorHAnsi"/>
          <w:sz w:val="24"/>
          <w:szCs w:val="24"/>
          <w:u w:val="single"/>
        </w:rPr>
        <w:t>Variation</w:t>
      </w:r>
      <w:r w:rsidR="007E369C" w:rsidRPr="0046407C">
        <w:rPr>
          <w:rFonts w:asciiTheme="majorHAnsi" w:hAnsiTheme="majorHAnsi"/>
          <w:sz w:val="24"/>
          <w:szCs w:val="24"/>
          <w:vertAlign w:val="superscript"/>
        </w:rPr>
        <w:t xml:space="preserve"> [</w:t>
      </w:r>
      <w:r w:rsidR="00F814D6" w:rsidRPr="0046407C">
        <w:rPr>
          <w:rFonts w:asciiTheme="majorHAnsi" w:hAnsiTheme="majorHAnsi"/>
          <w:sz w:val="24"/>
          <w:szCs w:val="24"/>
          <w:vertAlign w:val="superscript"/>
        </w:rPr>
        <w:t>2]</w:t>
      </w:r>
    </w:p>
    <w:p w14:paraId="2997F838" w14:textId="131EE2F6" w:rsidR="003765C9" w:rsidRPr="00453D95" w:rsidRDefault="003D4AAA" w:rsidP="00FF3908">
      <w:pPr>
        <w:rPr>
          <w:rFonts w:asciiTheme="majorHAnsi" w:hAnsiTheme="majorHAnsi"/>
          <w:sz w:val="24"/>
          <w:szCs w:val="24"/>
        </w:rPr>
      </w:pPr>
      <w:r>
        <w:rPr>
          <w:rFonts w:asciiTheme="majorHAnsi" w:hAnsiTheme="majorHAnsi"/>
          <w:b/>
          <w:sz w:val="24"/>
          <w:szCs w:val="24"/>
        </w:rPr>
        <w:t>Synopsys:</w:t>
      </w:r>
      <w:r w:rsidR="00453D95">
        <w:rPr>
          <w:rFonts w:asciiTheme="majorHAnsi" w:hAnsiTheme="majorHAnsi"/>
          <w:sz w:val="24"/>
          <w:szCs w:val="24"/>
        </w:rPr>
        <w:t xml:space="preserve">  </w:t>
      </w:r>
      <w:r w:rsidR="00DE7DAB">
        <w:rPr>
          <w:rFonts w:asciiTheme="majorHAnsi" w:hAnsiTheme="majorHAnsi"/>
          <w:sz w:val="24"/>
          <w:szCs w:val="24"/>
        </w:rPr>
        <w:t xml:space="preserve">This paper </w:t>
      </w:r>
      <w:r w:rsidR="00CF433F">
        <w:rPr>
          <w:rFonts w:asciiTheme="majorHAnsi" w:hAnsiTheme="majorHAnsi"/>
          <w:sz w:val="24"/>
          <w:szCs w:val="24"/>
        </w:rPr>
        <w:t>addresses the issue of increased impacts of variation with integrated circuit (IC) scaling.  The authors discuss</w:t>
      </w:r>
      <w:r w:rsidR="00DE7DAB">
        <w:rPr>
          <w:rFonts w:asciiTheme="majorHAnsi" w:hAnsiTheme="majorHAnsi"/>
          <w:sz w:val="24"/>
          <w:szCs w:val="24"/>
        </w:rPr>
        <w:t xml:space="preserve"> the effective</w:t>
      </w:r>
      <w:r w:rsidR="008E14F3">
        <w:rPr>
          <w:rFonts w:asciiTheme="majorHAnsi" w:hAnsiTheme="majorHAnsi"/>
          <w:sz w:val="24"/>
          <w:szCs w:val="24"/>
        </w:rPr>
        <w:t>nes</w:t>
      </w:r>
      <w:r w:rsidR="00DE7DAB">
        <w:rPr>
          <w:rFonts w:asciiTheme="majorHAnsi" w:hAnsiTheme="majorHAnsi"/>
          <w:sz w:val="24"/>
          <w:szCs w:val="24"/>
        </w:rPr>
        <w:t xml:space="preserve">s of adaptive supply voltage (ASV) as compared to adaptive body bias </w:t>
      </w:r>
      <w:r w:rsidR="008E14F3">
        <w:rPr>
          <w:rFonts w:asciiTheme="majorHAnsi" w:hAnsiTheme="majorHAnsi"/>
          <w:sz w:val="24"/>
          <w:szCs w:val="24"/>
        </w:rPr>
        <w:t xml:space="preserve">(ABB) techniques </w:t>
      </w:r>
      <w:r w:rsidR="004B4BC8">
        <w:rPr>
          <w:rFonts w:asciiTheme="majorHAnsi" w:hAnsiTheme="majorHAnsi"/>
          <w:sz w:val="24"/>
          <w:szCs w:val="24"/>
        </w:rPr>
        <w:t>in</w:t>
      </w:r>
      <w:r w:rsidR="00DE7DAB">
        <w:rPr>
          <w:rFonts w:asciiTheme="majorHAnsi" w:hAnsiTheme="majorHAnsi"/>
          <w:sz w:val="24"/>
          <w:szCs w:val="24"/>
        </w:rPr>
        <w:t xml:space="preserve"> </w:t>
      </w:r>
      <w:r w:rsidR="00032DFD">
        <w:rPr>
          <w:rFonts w:asciiTheme="majorHAnsi" w:hAnsiTheme="majorHAnsi"/>
          <w:sz w:val="24"/>
          <w:szCs w:val="24"/>
        </w:rPr>
        <w:t>sca</w:t>
      </w:r>
      <w:r w:rsidR="00D43EB0">
        <w:rPr>
          <w:rFonts w:asciiTheme="majorHAnsi" w:hAnsiTheme="majorHAnsi"/>
          <w:sz w:val="24"/>
          <w:szCs w:val="24"/>
        </w:rPr>
        <w:t>ling</w:t>
      </w:r>
      <w:r w:rsidR="008E14F3">
        <w:rPr>
          <w:rFonts w:asciiTheme="majorHAnsi" w:hAnsiTheme="majorHAnsi"/>
          <w:sz w:val="24"/>
          <w:szCs w:val="24"/>
        </w:rPr>
        <w:t xml:space="preserve"> </w:t>
      </w:r>
      <w:r w:rsidR="00DE7DAB">
        <w:rPr>
          <w:rFonts w:asciiTheme="majorHAnsi" w:hAnsiTheme="majorHAnsi"/>
          <w:sz w:val="24"/>
          <w:szCs w:val="24"/>
        </w:rPr>
        <w:t>high performance, low power</w:t>
      </w:r>
      <w:r w:rsidR="008E14F3">
        <w:rPr>
          <w:rFonts w:asciiTheme="majorHAnsi" w:hAnsiTheme="majorHAnsi"/>
          <w:sz w:val="24"/>
          <w:szCs w:val="24"/>
        </w:rPr>
        <w:t xml:space="preserve"> chips</w:t>
      </w:r>
      <w:r w:rsidR="00CF433F">
        <w:rPr>
          <w:rFonts w:asciiTheme="majorHAnsi" w:hAnsiTheme="majorHAnsi"/>
          <w:sz w:val="24"/>
          <w:szCs w:val="24"/>
        </w:rPr>
        <w:t xml:space="preserve">.  </w:t>
      </w:r>
      <w:r w:rsidR="00B87167">
        <w:rPr>
          <w:rFonts w:asciiTheme="majorHAnsi" w:hAnsiTheme="majorHAnsi"/>
          <w:sz w:val="24"/>
          <w:szCs w:val="24"/>
        </w:rPr>
        <w:t>This comparison was conducted with 0.1-</w:t>
      </w:r>
      <w:r w:rsidR="00B87167" w:rsidRPr="00B87167">
        <w:rPr>
          <w:rFonts w:asciiTheme="majorHAnsi" w:hAnsiTheme="majorHAnsi" w:cs="Lucida Grande"/>
          <w:color w:val="000000"/>
          <w:sz w:val="24"/>
          <w:szCs w:val="24"/>
        </w:rPr>
        <w:t>μ</w:t>
      </w:r>
      <w:r w:rsidR="00B87167">
        <w:rPr>
          <w:rFonts w:asciiTheme="majorHAnsi" w:hAnsiTheme="majorHAnsi"/>
          <w:sz w:val="24"/>
          <w:szCs w:val="24"/>
        </w:rPr>
        <w:t>m CMOS technology</w:t>
      </w:r>
      <w:r w:rsidR="003C6129">
        <w:rPr>
          <w:rFonts w:asciiTheme="majorHAnsi" w:hAnsiTheme="majorHAnsi"/>
          <w:sz w:val="24"/>
          <w:szCs w:val="24"/>
        </w:rPr>
        <w:t xml:space="preserve"> and, in particular, examined the impact of ASV and ABB on leakage and delay in an IC.  </w:t>
      </w:r>
      <w:r w:rsidR="001A19BA">
        <w:rPr>
          <w:rFonts w:asciiTheme="majorHAnsi" w:hAnsiTheme="majorHAnsi"/>
          <w:sz w:val="24"/>
          <w:szCs w:val="24"/>
        </w:rPr>
        <w:t>The authors conclude</w:t>
      </w:r>
      <w:r w:rsidR="000F5FA5">
        <w:rPr>
          <w:rFonts w:asciiTheme="majorHAnsi" w:hAnsiTheme="majorHAnsi"/>
          <w:sz w:val="24"/>
          <w:szCs w:val="24"/>
        </w:rPr>
        <w:t xml:space="preserve"> that</w:t>
      </w:r>
      <w:r w:rsidR="00E0706A">
        <w:rPr>
          <w:rFonts w:asciiTheme="majorHAnsi" w:hAnsiTheme="majorHAnsi"/>
          <w:sz w:val="24"/>
          <w:szCs w:val="24"/>
        </w:rPr>
        <w:t xml:space="preserve"> both ASV and ABB significantly improve leakage and delay</w:t>
      </w:r>
      <w:r w:rsidR="00643F80">
        <w:rPr>
          <w:rFonts w:asciiTheme="majorHAnsi" w:hAnsiTheme="majorHAnsi"/>
          <w:sz w:val="24"/>
          <w:szCs w:val="24"/>
        </w:rPr>
        <w:t>.  I</w:t>
      </w:r>
      <w:r w:rsidR="00250722">
        <w:rPr>
          <w:rFonts w:asciiTheme="majorHAnsi" w:hAnsiTheme="majorHAnsi"/>
          <w:sz w:val="24"/>
          <w:szCs w:val="24"/>
        </w:rPr>
        <w:t>n general</w:t>
      </w:r>
      <w:r w:rsidR="000F5FA5">
        <w:rPr>
          <w:rFonts w:asciiTheme="majorHAnsi" w:hAnsiTheme="majorHAnsi"/>
          <w:sz w:val="24"/>
          <w:szCs w:val="24"/>
        </w:rPr>
        <w:t xml:space="preserve">, </w:t>
      </w:r>
      <w:r w:rsidR="00250722">
        <w:rPr>
          <w:rFonts w:asciiTheme="majorHAnsi" w:hAnsiTheme="majorHAnsi"/>
          <w:sz w:val="24"/>
          <w:szCs w:val="24"/>
        </w:rPr>
        <w:t>for the 0.1-</w:t>
      </w:r>
      <w:r w:rsidR="00250722">
        <w:rPr>
          <w:rFonts w:ascii="Cambria" w:hAnsi="Cambria"/>
          <w:sz w:val="24"/>
          <w:szCs w:val="24"/>
        </w:rPr>
        <w:t>μ</w:t>
      </w:r>
      <w:r w:rsidR="00250722">
        <w:rPr>
          <w:rFonts w:asciiTheme="majorHAnsi" w:hAnsiTheme="majorHAnsi"/>
          <w:sz w:val="24"/>
          <w:szCs w:val="24"/>
        </w:rPr>
        <w:t xml:space="preserve">m CMOS technology </w:t>
      </w:r>
      <w:r w:rsidR="000F5FA5">
        <w:rPr>
          <w:rFonts w:asciiTheme="majorHAnsi" w:hAnsiTheme="majorHAnsi"/>
          <w:sz w:val="24"/>
          <w:szCs w:val="24"/>
        </w:rPr>
        <w:t>only one or the other (ASV or ABB) is necessary</w:t>
      </w:r>
      <w:r w:rsidR="00DB4D30">
        <w:rPr>
          <w:rFonts w:asciiTheme="majorHAnsi" w:hAnsiTheme="majorHAnsi"/>
          <w:sz w:val="24"/>
          <w:szCs w:val="24"/>
        </w:rPr>
        <w:t xml:space="preserve"> to see peak improvement,</w:t>
      </w:r>
      <w:r w:rsidR="00F8719A">
        <w:rPr>
          <w:rFonts w:asciiTheme="majorHAnsi" w:hAnsiTheme="majorHAnsi"/>
          <w:sz w:val="24"/>
          <w:szCs w:val="24"/>
        </w:rPr>
        <w:t xml:space="preserve"> though it does depend very slightly on </w:t>
      </w:r>
      <w:r w:rsidR="00DB4D30">
        <w:rPr>
          <w:rFonts w:asciiTheme="majorHAnsi" w:hAnsiTheme="majorHAnsi"/>
          <w:sz w:val="24"/>
          <w:szCs w:val="24"/>
        </w:rPr>
        <w:t xml:space="preserve">desired yield.  </w:t>
      </w:r>
      <w:r w:rsidR="00025C36">
        <w:rPr>
          <w:rFonts w:asciiTheme="majorHAnsi" w:hAnsiTheme="majorHAnsi"/>
          <w:sz w:val="24"/>
          <w:szCs w:val="24"/>
        </w:rPr>
        <w:t>Moreover, t</w:t>
      </w:r>
      <w:r w:rsidR="00195F65">
        <w:rPr>
          <w:rFonts w:asciiTheme="majorHAnsi" w:hAnsiTheme="majorHAnsi"/>
          <w:sz w:val="24"/>
          <w:szCs w:val="24"/>
        </w:rPr>
        <w:t>he authors note that the decision to use ASV as opposed to ABB should be based on a variety of factors, including design complexity, requirements for voltage generation and regulation, reliability, and requirements of silicon overhead [2].</w:t>
      </w:r>
      <w:r w:rsidR="00DE4ED7">
        <w:rPr>
          <w:rFonts w:asciiTheme="majorHAnsi" w:hAnsiTheme="majorHAnsi"/>
          <w:sz w:val="24"/>
          <w:szCs w:val="24"/>
        </w:rPr>
        <w:t xml:space="preserve">  ABB is more expensive due to the requirement of additional silicon area</w:t>
      </w:r>
      <w:r w:rsidR="00740D12">
        <w:rPr>
          <w:rFonts w:asciiTheme="majorHAnsi" w:hAnsiTheme="majorHAnsi"/>
          <w:sz w:val="24"/>
          <w:szCs w:val="24"/>
        </w:rPr>
        <w:t xml:space="preserve"> for the bias distribution network.  </w:t>
      </w:r>
      <w:r w:rsidR="008B7AB4">
        <w:rPr>
          <w:rFonts w:asciiTheme="majorHAnsi" w:hAnsiTheme="majorHAnsi"/>
          <w:sz w:val="24"/>
          <w:szCs w:val="24"/>
        </w:rPr>
        <w:t>A concern the authors express</w:t>
      </w:r>
      <w:r w:rsidR="004C48E6">
        <w:rPr>
          <w:rFonts w:asciiTheme="majorHAnsi" w:hAnsiTheme="majorHAnsi"/>
          <w:sz w:val="24"/>
          <w:szCs w:val="24"/>
        </w:rPr>
        <w:t xml:space="preserve"> regarding ASV is reliability.</w:t>
      </w:r>
      <w:r w:rsidR="00CB4FE9">
        <w:rPr>
          <w:rFonts w:asciiTheme="majorHAnsi" w:hAnsiTheme="majorHAnsi"/>
          <w:sz w:val="24"/>
          <w:szCs w:val="24"/>
        </w:rPr>
        <w:t xml:space="preserve">  They further note that future CMOS technology may require using both ABB and ASV.  </w:t>
      </w:r>
    </w:p>
    <w:p w14:paraId="593E9AB2" w14:textId="06C4C1A0" w:rsidR="00360C99" w:rsidRDefault="003D4AAA">
      <w:pPr>
        <w:rPr>
          <w:rFonts w:asciiTheme="majorHAnsi" w:hAnsiTheme="majorHAnsi"/>
          <w:sz w:val="24"/>
          <w:szCs w:val="24"/>
        </w:rPr>
      </w:pPr>
      <w:r>
        <w:rPr>
          <w:rFonts w:asciiTheme="majorHAnsi" w:hAnsiTheme="majorHAnsi"/>
          <w:b/>
          <w:sz w:val="24"/>
          <w:szCs w:val="24"/>
        </w:rPr>
        <w:t>Take-Aways:</w:t>
      </w:r>
      <w:r w:rsidR="00B95F2D">
        <w:rPr>
          <w:rFonts w:asciiTheme="majorHAnsi" w:hAnsiTheme="majorHAnsi"/>
          <w:b/>
          <w:sz w:val="24"/>
          <w:szCs w:val="24"/>
        </w:rPr>
        <w:t xml:space="preserve">  </w:t>
      </w:r>
      <w:r w:rsidR="00850152">
        <w:rPr>
          <w:rFonts w:asciiTheme="majorHAnsi" w:hAnsiTheme="majorHAnsi"/>
          <w:sz w:val="24"/>
          <w:szCs w:val="24"/>
        </w:rPr>
        <w:t>Data from this</w:t>
      </w:r>
      <w:r w:rsidR="003135DA">
        <w:rPr>
          <w:rFonts w:asciiTheme="majorHAnsi" w:hAnsiTheme="majorHAnsi"/>
          <w:sz w:val="24"/>
          <w:szCs w:val="24"/>
        </w:rPr>
        <w:t xml:space="preserve"> paper may be useful for comparison to see how the effectiveness of ASV scales, since current CMOS technology is </w:t>
      </w:r>
      <w:r w:rsidR="00FB2A29">
        <w:rPr>
          <w:rFonts w:asciiTheme="majorHAnsi" w:hAnsiTheme="majorHAnsi"/>
          <w:sz w:val="24"/>
          <w:szCs w:val="24"/>
        </w:rPr>
        <w:t>much smaller than the</w:t>
      </w:r>
      <w:r w:rsidR="003135DA">
        <w:rPr>
          <w:rFonts w:asciiTheme="majorHAnsi" w:hAnsiTheme="majorHAnsi"/>
          <w:sz w:val="24"/>
          <w:szCs w:val="24"/>
        </w:rPr>
        <w:t xml:space="preserve"> 0.1-</w:t>
      </w:r>
      <w:r w:rsidR="003135DA">
        <w:rPr>
          <w:rFonts w:ascii="Cambria" w:hAnsi="Cambria"/>
          <w:sz w:val="24"/>
          <w:szCs w:val="24"/>
        </w:rPr>
        <w:t>μ</w:t>
      </w:r>
      <w:r w:rsidR="003135DA">
        <w:rPr>
          <w:rFonts w:asciiTheme="majorHAnsi" w:hAnsiTheme="majorHAnsi"/>
          <w:sz w:val="24"/>
          <w:szCs w:val="24"/>
        </w:rPr>
        <w:t xml:space="preserve">m </w:t>
      </w:r>
      <w:r w:rsidR="00FB2A29">
        <w:rPr>
          <w:rFonts w:asciiTheme="majorHAnsi" w:hAnsiTheme="majorHAnsi"/>
          <w:sz w:val="24"/>
          <w:szCs w:val="24"/>
        </w:rPr>
        <w:t xml:space="preserve">used </w:t>
      </w:r>
      <w:r w:rsidR="003135DA">
        <w:rPr>
          <w:rFonts w:asciiTheme="majorHAnsi" w:hAnsiTheme="majorHAnsi"/>
          <w:sz w:val="24"/>
          <w:szCs w:val="24"/>
        </w:rPr>
        <w:t xml:space="preserve">in 2003.  </w:t>
      </w:r>
      <w:r w:rsidR="00AF4F61">
        <w:rPr>
          <w:rFonts w:asciiTheme="majorHAnsi" w:hAnsiTheme="majorHAnsi"/>
          <w:sz w:val="24"/>
          <w:szCs w:val="24"/>
        </w:rPr>
        <w:t>The authors also suggest future areas of</w:t>
      </w:r>
      <w:r w:rsidR="00D12101">
        <w:rPr>
          <w:rFonts w:asciiTheme="majorHAnsi" w:hAnsiTheme="majorHAnsi"/>
          <w:sz w:val="24"/>
          <w:szCs w:val="24"/>
        </w:rPr>
        <w:t xml:space="preserve"> research with respect to ASV, which </w:t>
      </w:r>
      <w:r w:rsidR="00D12101">
        <w:rPr>
          <w:rFonts w:asciiTheme="majorHAnsi" w:hAnsiTheme="majorHAnsi"/>
          <w:sz w:val="24"/>
          <w:szCs w:val="24"/>
        </w:rPr>
        <w:lastRenderedPageBreak/>
        <w:t xml:space="preserve">may be useful for us to consider.  </w:t>
      </w:r>
      <w:r w:rsidR="0061524E">
        <w:rPr>
          <w:rFonts w:asciiTheme="majorHAnsi" w:hAnsiTheme="majorHAnsi"/>
          <w:sz w:val="24"/>
          <w:szCs w:val="24"/>
        </w:rPr>
        <w:t>Perhaps we can further explore</w:t>
      </w:r>
      <w:r w:rsidR="00692CFC">
        <w:rPr>
          <w:rFonts w:asciiTheme="majorHAnsi" w:hAnsiTheme="majorHAnsi"/>
          <w:sz w:val="24"/>
          <w:szCs w:val="24"/>
        </w:rPr>
        <w:t xml:space="preserve"> potential </w:t>
      </w:r>
      <w:r w:rsidR="00A96AD1">
        <w:rPr>
          <w:rFonts w:asciiTheme="majorHAnsi" w:hAnsiTheme="majorHAnsi"/>
          <w:sz w:val="24"/>
          <w:szCs w:val="24"/>
        </w:rPr>
        <w:t>side effects</w:t>
      </w:r>
      <w:r w:rsidR="006D5FD5">
        <w:rPr>
          <w:rFonts w:asciiTheme="majorHAnsi" w:hAnsiTheme="majorHAnsi"/>
          <w:sz w:val="24"/>
          <w:szCs w:val="24"/>
        </w:rPr>
        <w:t xml:space="preserve"> of ASV as opposed to </w:t>
      </w:r>
      <w:r w:rsidR="00360C99">
        <w:rPr>
          <w:rFonts w:asciiTheme="majorHAnsi" w:hAnsiTheme="majorHAnsi"/>
          <w:sz w:val="24"/>
          <w:szCs w:val="24"/>
        </w:rPr>
        <w:t>ABB</w:t>
      </w:r>
      <w:r w:rsidR="00F0439C">
        <w:rPr>
          <w:rFonts w:asciiTheme="majorHAnsi" w:hAnsiTheme="majorHAnsi"/>
          <w:sz w:val="24"/>
          <w:szCs w:val="24"/>
        </w:rPr>
        <w:t>.</w:t>
      </w:r>
    </w:p>
    <w:p w14:paraId="215CF58D" w14:textId="464A191A" w:rsidR="00B55123" w:rsidRPr="008027C6" w:rsidRDefault="008027C6" w:rsidP="008027C6">
      <w:pPr>
        <w:jc w:val="center"/>
        <w:rPr>
          <w:rFonts w:asciiTheme="majorHAnsi" w:hAnsiTheme="majorHAnsi"/>
          <w:b/>
          <w:sz w:val="24"/>
          <w:szCs w:val="24"/>
        </w:rPr>
      </w:pPr>
      <w:r>
        <w:rPr>
          <w:rFonts w:asciiTheme="majorHAnsi" w:hAnsiTheme="majorHAnsi"/>
          <w:b/>
        </w:rPr>
        <w:t>SIMULATIONS</w:t>
      </w:r>
    </w:p>
    <w:p w14:paraId="0644E716" w14:textId="77777777" w:rsidR="00DB2637" w:rsidRPr="0046407C" w:rsidRDefault="00DB2637">
      <w:pPr>
        <w:rPr>
          <w:rFonts w:asciiTheme="majorHAnsi" w:hAnsiTheme="majorHAnsi"/>
        </w:rPr>
      </w:pPr>
      <w:r w:rsidRPr="0046407C">
        <w:rPr>
          <w:rFonts w:asciiTheme="majorHAnsi" w:hAnsiTheme="majorHAnsi"/>
        </w:rPr>
        <w:t>Since the first design review and the project p</w:t>
      </w:r>
      <w:r w:rsidR="00B55123" w:rsidRPr="0046407C">
        <w:rPr>
          <w:rFonts w:asciiTheme="majorHAnsi" w:hAnsiTheme="majorHAnsi"/>
        </w:rPr>
        <w:t>roposal, we have expanded</w:t>
      </w:r>
      <w:r w:rsidRPr="0046407C">
        <w:rPr>
          <w:rFonts w:asciiTheme="majorHAnsi" w:hAnsiTheme="majorHAnsi"/>
        </w:rPr>
        <w:t xml:space="preserve"> our research to applications other than just an inverter.  Specifically, we have evaluated the effectiveness of our supply biasing on NAND and NOR gates, and compared the results to NAND and NOR gates which have been body biased.  Figure 1 shows the schematic for a NAND gate in a similar configuration to that of the two-inverter gates which were discussed in our previous reviews.</w:t>
      </w:r>
    </w:p>
    <w:p w14:paraId="1C61E7B3" w14:textId="77777777" w:rsidR="005B71C5" w:rsidRPr="0046407C" w:rsidRDefault="005B71C5">
      <w:pPr>
        <w:rPr>
          <w:rFonts w:asciiTheme="majorHAnsi" w:hAnsiTheme="majorHAnsi"/>
        </w:rPr>
      </w:pPr>
      <w:r w:rsidRPr="0046407C">
        <w:rPr>
          <w:rFonts w:asciiTheme="majorHAnsi" w:hAnsiTheme="majorHAnsi"/>
          <w:noProof/>
        </w:rPr>
        <w:drawing>
          <wp:inline distT="0" distB="0" distL="0" distR="0" wp14:anchorId="3DB882A7" wp14:editId="6A790D9E">
            <wp:extent cx="5943600" cy="3778021"/>
            <wp:effectExtent l="0" t="0" r="0" b="0"/>
            <wp:docPr id="1" name="Picture 1" descr="C:\Users\Andy\AppData\Local\Temp\NANDG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y\AppData\Local\Temp\NANDGat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778021"/>
                    </a:xfrm>
                    <a:prstGeom prst="rect">
                      <a:avLst/>
                    </a:prstGeom>
                    <a:noFill/>
                    <a:ln>
                      <a:noFill/>
                    </a:ln>
                  </pic:spPr>
                </pic:pic>
              </a:graphicData>
            </a:graphic>
          </wp:inline>
        </w:drawing>
      </w:r>
    </w:p>
    <w:p w14:paraId="7302740C" w14:textId="77777777" w:rsidR="005B71C5" w:rsidRPr="0046407C" w:rsidRDefault="005B71C5" w:rsidP="00F31FF9">
      <w:pPr>
        <w:jc w:val="center"/>
        <w:rPr>
          <w:rFonts w:asciiTheme="majorHAnsi" w:hAnsiTheme="majorHAnsi"/>
          <w:b/>
        </w:rPr>
      </w:pPr>
      <w:r w:rsidRPr="0046407C">
        <w:rPr>
          <w:rFonts w:asciiTheme="majorHAnsi" w:hAnsiTheme="majorHAnsi"/>
          <w:b/>
        </w:rPr>
        <w:t>Figure 1:  NAND Gate in Supply Bias Configuration</w:t>
      </w:r>
    </w:p>
    <w:p w14:paraId="402AEF23" w14:textId="77777777" w:rsidR="00A26943" w:rsidRPr="0046407C" w:rsidRDefault="00A26943" w:rsidP="00A26943">
      <w:pPr>
        <w:rPr>
          <w:rFonts w:asciiTheme="majorHAnsi" w:hAnsiTheme="majorHAnsi"/>
        </w:rPr>
      </w:pPr>
      <w:r w:rsidRPr="0046407C">
        <w:rPr>
          <w:rFonts w:asciiTheme="majorHAnsi" w:hAnsiTheme="majorHAnsi"/>
        </w:rPr>
        <w:t>As with the two-inverter gates, the supply-biased NAND gate has two outputs; one high output and one low.  To test the effectiveness of the supply biasing, we set up 11 of these NAND gates to form a ring oscillator, where the high output of one NAND gate is connected to the NMOS gates of the next NAND gate, and the low output connected to the PMOS gates.  Figure 2 shows this configuration.</w:t>
      </w:r>
    </w:p>
    <w:p w14:paraId="4A24F871" w14:textId="77777777" w:rsidR="00A26943" w:rsidRPr="0046407C" w:rsidRDefault="00071A98" w:rsidP="00A26943">
      <w:pPr>
        <w:rPr>
          <w:rFonts w:asciiTheme="majorHAnsi" w:hAnsiTheme="majorHAnsi"/>
        </w:rPr>
      </w:pPr>
      <w:r w:rsidRPr="0046407C">
        <w:rPr>
          <w:rFonts w:asciiTheme="majorHAnsi" w:hAnsiTheme="majorHAnsi"/>
          <w:noProof/>
        </w:rPr>
        <w:lastRenderedPageBreak/>
        <w:drawing>
          <wp:inline distT="0" distB="0" distL="0" distR="0" wp14:anchorId="410C5525" wp14:editId="112B31C1">
            <wp:extent cx="5943600" cy="23425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342515"/>
                    </a:xfrm>
                    <a:prstGeom prst="rect">
                      <a:avLst/>
                    </a:prstGeom>
                  </pic:spPr>
                </pic:pic>
              </a:graphicData>
            </a:graphic>
          </wp:inline>
        </w:drawing>
      </w:r>
    </w:p>
    <w:p w14:paraId="075BE204" w14:textId="77777777" w:rsidR="00A26943" w:rsidRPr="0046407C" w:rsidRDefault="00A26943" w:rsidP="00A26943">
      <w:pPr>
        <w:jc w:val="center"/>
        <w:rPr>
          <w:rFonts w:asciiTheme="majorHAnsi" w:hAnsiTheme="majorHAnsi"/>
          <w:b/>
        </w:rPr>
      </w:pPr>
      <w:r w:rsidRPr="0046407C">
        <w:rPr>
          <w:rFonts w:asciiTheme="majorHAnsi" w:hAnsiTheme="majorHAnsi"/>
          <w:b/>
        </w:rPr>
        <w:t>Figure 2: NAND Gate Test Bench</w:t>
      </w:r>
    </w:p>
    <w:p w14:paraId="6AFA7A8F" w14:textId="0FA4FEFF" w:rsidR="005B71C5" w:rsidRPr="0046407C" w:rsidRDefault="00071A98">
      <w:pPr>
        <w:rPr>
          <w:rFonts w:asciiTheme="majorHAnsi" w:hAnsiTheme="majorHAnsi"/>
        </w:rPr>
      </w:pPr>
      <w:r w:rsidRPr="0046407C">
        <w:rPr>
          <w:rFonts w:asciiTheme="majorHAnsi" w:hAnsiTheme="majorHAnsi"/>
        </w:rPr>
        <w:t>This ring oscillator is not particularly useful as an application, but it does allow us to evaluate the response of NAND gates to supply biasing.  Figure 3 shows the Power vs. Frequency of this ring oscillator for bias values from -0.1 to 0.05 V.</w:t>
      </w:r>
      <w:r w:rsidR="0086758F" w:rsidRPr="0046407C">
        <w:rPr>
          <w:rFonts w:asciiTheme="majorHAnsi" w:hAnsiTheme="majorHAnsi"/>
        </w:rPr>
        <w:t xml:space="preserve">  These bias values correspond to how much the top and bottom portion of the NAND gate have been shifted up and down, respectively.  For example, a bias value of 0.05 V corresponds to a supply range of 0.05 to V</w:t>
      </w:r>
      <w:r w:rsidR="0086758F" w:rsidRPr="00C0397E">
        <w:rPr>
          <w:rFonts w:asciiTheme="majorHAnsi" w:hAnsiTheme="majorHAnsi"/>
          <w:vertAlign w:val="subscript"/>
        </w:rPr>
        <w:t>DD</w:t>
      </w:r>
      <w:r w:rsidR="0086758F" w:rsidRPr="0046407C">
        <w:rPr>
          <w:rFonts w:asciiTheme="majorHAnsi" w:hAnsiTheme="majorHAnsi"/>
        </w:rPr>
        <w:t xml:space="preserve"> + 0.05 for the up-shifted portion, and -0.05 to V</w:t>
      </w:r>
      <w:r w:rsidR="00C0397E" w:rsidRPr="00C0397E">
        <w:rPr>
          <w:rFonts w:asciiTheme="majorHAnsi" w:hAnsiTheme="majorHAnsi"/>
          <w:vertAlign w:val="subscript"/>
        </w:rPr>
        <w:t>DD</w:t>
      </w:r>
      <w:r w:rsidR="0086758F" w:rsidRPr="0046407C">
        <w:rPr>
          <w:rFonts w:asciiTheme="majorHAnsi" w:hAnsiTheme="majorHAnsi"/>
        </w:rPr>
        <w:t xml:space="preserve"> – 0.05 V for the down-shifted portion of the NAND gate.  For this simulation, we used a V</w:t>
      </w:r>
      <w:r w:rsidR="00C0397E" w:rsidRPr="00C0397E">
        <w:rPr>
          <w:rFonts w:asciiTheme="majorHAnsi" w:hAnsiTheme="majorHAnsi"/>
          <w:vertAlign w:val="subscript"/>
        </w:rPr>
        <w:t>DD</w:t>
      </w:r>
      <w:r w:rsidR="0086758F" w:rsidRPr="0046407C">
        <w:rPr>
          <w:rFonts w:asciiTheme="majorHAnsi" w:hAnsiTheme="majorHAnsi"/>
        </w:rPr>
        <w:t xml:space="preserve"> of 1.1 V.</w:t>
      </w:r>
    </w:p>
    <w:p w14:paraId="263CA840" w14:textId="77777777" w:rsidR="00071A98" w:rsidRPr="0046407C" w:rsidRDefault="00071A98" w:rsidP="00071A98">
      <w:pPr>
        <w:jc w:val="center"/>
        <w:rPr>
          <w:rFonts w:asciiTheme="majorHAnsi" w:hAnsiTheme="majorHAnsi"/>
        </w:rPr>
      </w:pPr>
      <w:r w:rsidRPr="0046407C">
        <w:rPr>
          <w:rFonts w:asciiTheme="majorHAnsi" w:hAnsiTheme="majorHAnsi"/>
          <w:noProof/>
        </w:rPr>
        <w:drawing>
          <wp:inline distT="0" distB="0" distL="0" distR="0" wp14:anchorId="41206D43" wp14:editId="140C8D5E">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00F7319" w14:textId="77777777" w:rsidR="00071A98" w:rsidRPr="0046407C" w:rsidRDefault="00071A98" w:rsidP="00071A98">
      <w:pPr>
        <w:jc w:val="center"/>
        <w:rPr>
          <w:rFonts w:asciiTheme="majorHAnsi" w:hAnsiTheme="majorHAnsi"/>
          <w:b/>
        </w:rPr>
      </w:pPr>
      <w:r w:rsidRPr="0046407C">
        <w:rPr>
          <w:rFonts w:asciiTheme="majorHAnsi" w:hAnsiTheme="majorHAnsi"/>
          <w:b/>
        </w:rPr>
        <w:t>Figure 3:  Power vs. Frequency for NAND Gate Ring Oscillator</w:t>
      </w:r>
    </w:p>
    <w:p w14:paraId="6BBF435F" w14:textId="77777777" w:rsidR="0086758F" w:rsidRPr="0046407C" w:rsidRDefault="0086758F" w:rsidP="0086758F">
      <w:pPr>
        <w:rPr>
          <w:rFonts w:asciiTheme="majorHAnsi" w:hAnsiTheme="majorHAnsi"/>
        </w:rPr>
      </w:pPr>
    </w:p>
    <w:p w14:paraId="238883AF" w14:textId="77777777" w:rsidR="0086758F" w:rsidRPr="0046407C" w:rsidRDefault="0086758F" w:rsidP="0086758F">
      <w:pPr>
        <w:rPr>
          <w:rFonts w:asciiTheme="majorHAnsi" w:hAnsiTheme="majorHAnsi"/>
        </w:rPr>
      </w:pPr>
      <w:r w:rsidRPr="0046407C">
        <w:rPr>
          <w:rFonts w:asciiTheme="majorHAnsi" w:hAnsiTheme="majorHAnsi"/>
        </w:rPr>
        <w:lastRenderedPageBreak/>
        <w:t>For a ring oscillator with no leakage or short circuit power, we expect this power vs. frequency curve to be linear.  However, because leakage current increases exponentially as the bias voltage increases, we see an exponential growth in power.</w:t>
      </w:r>
    </w:p>
    <w:p w14:paraId="47308E8A" w14:textId="77777777" w:rsidR="0086758F" w:rsidRPr="0046407C" w:rsidRDefault="0086758F" w:rsidP="0086758F">
      <w:pPr>
        <w:rPr>
          <w:rFonts w:asciiTheme="majorHAnsi" w:hAnsiTheme="majorHAnsi"/>
        </w:rPr>
      </w:pPr>
      <w:r w:rsidRPr="0046407C">
        <w:rPr>
          <w:rFonts w:asciiTheme="majorHAnsi" w:hAnsiTheme="majorHAnsi"/>
        </w:rPr>
        <w:t xml:space="preserve">As mentioned before, we compared the results of the supply-biased NAND gate ring oscillator with that of a similar body-biased NAND gate.  Figure 4 shows the schematic of this </w:t>
      </w:r>
      <w:r w:rsidR="000E0F0B" w:rsidRPr="0046407C">
        <w:rPr>
          <w:rFonts w:asciiTheme="majorHAnsi" w:hAnsiTheme="majorHAnsi"/>
        </w:rPr>
        <w:t>NAND gate.  The ring oscillator was setup similarly, and the results for both the body-biased and supply-biased frequency and power are shown in Figure 5.</w:t>
      </w:r>
    </w:p>
    <w:p w14:paraId="2CD9264A" w14:textId="77777777" w:rsidR="000E0F0B" w:rsidRPr="0046407C" w:rsidRDefault="000E0F0B" w:rsidP="0086758F">
      <w:pPr>
        <w:rPr>
          <w:rFonts w:asciiTheme="majorHAnsi" w:hAnsiTheme="majorHAnsi"/>
        </w:rPr>
      </w:pPr>
      <w:r w:rsidRPr="0046407C">
        <w:rPr>
          <w:rFonts w:asciiTheme="majorHAnsi" w:hAnsiTheme="majorHAnsi"/>
          <w:noProof/>
        </w:rPr>
        <w:drawing>
          <wp:inline distT="0" distB="0" distL="0" distR="0" wp14:anchorId="40980373" wp14:editId="22C92460">
            <wp:extent cx="5943600" cy="3776118"/>
            <wp:effectExtent l="0" t="0" r="0" b="0"/>
            <wp:docPr id="5" name="Picture 5" descr="C:\Users\Andy\AppData\Local\Temp\BodyBiasN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y\AppData\Local\Temp\BodyBiasNAN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776118"/>
                    </a:xfrm>
                    <a:prstGeom prst="rect">
                      <a:avLst/>
                    </a:prstGeom>
                    <a:noFill/>
                    <a:ln>
                      <a:noFill/>
                    </a:ln>
                  </pic:spPr>
                </pic:pic>
              </a:graphicData>
            </a:graphic>
          </wp:inline>
        </w:drawing>
      </w:r>
    </w:p>
    <w:p w14:paraId="219EBCC7" w14:textId="77777777" w:rsidR="000E0F0B" w:rsidRPr="0046407C" w:rsidRDefault="000E0F0B" w:rsidP="000E0F0B">
      <w:pPr>
        <w:jc w:val="center"/>
        <w:rPr>
          <w:rFonts w:asciiTheme="majorHAnsi" w:hAnsiTheme="majorHAnsi"/>
          <w:b/>
        </w:rPr>
      </w:pPr>
      <w:r w:rsidRPr="0046407C">
        <w:rPr>
          <w:rFonts w:asciiTheme="majorHAnsi" w:hAnsiTheme="majorHAnsi"/>
          <w:b/>
        </w:rPr>
        <w:t>Figure 4:  Schematic of Body-Biased NAND Gate</w:t>
      </w:r>
    </w:p>
    <w:p w14:paraId="61BCD43D" w14:textId="77777777" w:rsidR="000E0F0B" w:rsidRPr="0046407C" w:rsidRDefault="000E0F0B" w:rsidP="00D85C4B">
      <w:pPr>
        <w:jc w:val="center"/>
        <w:rPr>
          <w:rFonts w:asciiTheme="majorHAnsi" w:hAnsiTheme="majorHAnsi"/>
        </w:rPr>
      </w:pPr>
      <w:r w:rsidRPr="0046407C">
        <w:rPr>
          <w:rFonts w:asciiTheme="majorHAnsi" w:hAnsiTheme="majorHAnsi"/>
          <w:noProof/>
        </w:rPr>
        <w:drawing>
          <wp:inline distT="0" distB="0" distL="0" distR="0" wp14:anchorId="1985494C" wp14:editId="2959BAF5">
            <wp:extent cx="6115050" cy="1800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123678" cy="1802765"/>
                    </a:xfrm>
                    <a:prstGeom prst="rect">
                      <a:avLst/>
                    </a:prstGeom>
                  </pic:spPr>
                </pic:pic>
              </a:graphicData>
            </a:graphic>
          </wp:inline>
        </w:drawing>
      </w:r>
    </w:p>
    <w:p w14:paraId="24271FF9" w14:textId="77777777" w:rsidR="000E0F0B" w:rsidRPr="0046407C" w:rsidRDefault="00D85C4B" w:rsidP="00D85C4B">
      <w:pPr>
        <w:pStyle w:val="ListParagraph"/>
        <w:numPr>
          <w:ilvl w:val="0"/>
          <w:numId w:val="2"/>
        </w:numPr>
        <w:rPr>
          <w:rFonts w:asciiTheme="majorHAnsi" w:hAnsiTheme="majorHAnsi"/>
        </w:rPr>
      </w:pPr>
      <w:r w:rsidRPr="0046407C">
        <w:rPr>
          <w:rFonts w:asciiTheme="majorHAnsi" w:hAnsiTheme="majorHAnsi"/>
        </w:rPr>
        <w:t xml:space="preserve">                                                                                                 (b)</w:t>
      </w:r>
    </w:p>
    <w:p w14:paraId="0C0257F2" w14:textId="77777777" w:rsidR="00D85C4B" w:rsidRPr="0046407C" w:rsidRDefault="00D85C4B" w:rsidP="00D85C4B">
      <w:pPr>
        <w:pStyle w:val="ListParagraph"/>
        <w:ind w:left="2670"/>
        <w:rPr>
          <w:rFonts w:asciiTheme="majorHAnsi" w:hAnsiTheme="majorHAnsi"/>
        </w:rPr>
      </w:pPr>
    </w:p>
    <w:p w14:paraId="50F49323" w14:textId="77777777" w:rsidR="00D85C4B" w:rsidRPr="0046407C" w:rsidRDefault="00D85C4B" w:rsidP="00D85C4B">
      <w:pPr>
        <w:jc w:val="both"/>
        <w:rPr>
          <w:rFonts w:asciiTheme="majorHAnsi" w:hAnsiTheme="majorHAnsi"/>
        </w:rPr>
      </w:pPr>
      <w:r w:rsidRPr="0046407C">
        <w:rPr>
          <w:rFonts w:asciiTheme="majorHAnsi" w:hAnsiTheme="majorHAnsi"/>
          <w:noProof/>
        </w:rPr>
        <w:lastRenderedPageBreak/>
        <w:drawing>
          <wp:inline distT="0" distB="0" distL="0" distR="0" wp14:anchorId="72661461" wp14:editId="5128C31A">
            <wp:extent cx="6229350" cy="18002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244731" cy="1804670"/>
                    </a:xfrm>
                    <a:prstGeom prst="rect">
                      <a:avLst/>
                    </a:prstGeom>
                  </pic:spPr>
                </pic:pic>
              </a:graphicData>
            </a:graphic>
          </wp:inline>
        </w:drawing>
      </w:r>
    </w:p>
    <w:p w14:paraId="51BD96B5" w14:textId="77777777" w:rsidR="00D85C4B" w:rsidRPr="0046407C" w:rsidRDefault="00D85C4B" w:rsidP="00D85C4B">
      <w:pPr>
        <w:jc w:val="both"/>
        <w:rPr>
          <w:rFonts w:asciiTheme="majorHAnsi" w:hAnsiTheme="majorHAnsi"/>
        </w:rPr>
      </w:pPr>
      <w:r w:rsidRPr="0046407C">
        <w:rPr>
          <w:rFonts w:asciiTheme="majorHAnsi" w:hAnsiTheme="majorHAnsi"/>
        </w:rPr>
        <w:tab/>
      </w:r>
      <w:r w:rsidRPr="0046407C">
        <w:rPr>
          <w:rFonts w:asciiTheme="majorHAnsi" w:hAnsiTheme="majorHAnsi"/>
        </w:rPr>
        <w:tab/>
      </w:r>
      <w:r w:rsidRPr="0046407C">
        <w:rPr>
          <w:rFonts w:asciiTheme="majorHAnsi" w:hAnsiTheme="majorHAnsi"/>
        </w:rPr>
        <w:tab/>
        <w:t xml:space="preserve">  (c)                                                                                                      (d)</w:t>
      </w:r>
    </w:p>
    <w:p w14:paraId="714B744B" w14:textId="77777777" w:rsidR="00D85C4B" w:rsidRPr="0046407C" w:rsidRDefault="00D85C4B" w:rsidP="00D85C4B">
      <w:pPr>
        <w:jc w:val="center"/>
        <w:rPr>
          <w:rFonts w:asciiTheme="majorHAnsi" w:hAnsiTheme="majorHAnsi"/>
          <w:b/>
        </w:rPr>
      </w:pPr>
      <w:r w:rsidRPr="0046407C">
        <w:rPr>
          <w:rFonts w:asciiTheme="majorHAnsi" w:hAnsiTheme="majorHAnsi"/>
          <w:b/>
        </w:rPr>
        <w:t xml:space="preserve">Figure 5:  Body Bias vs. Supply Bias Frequency (a &amp; b) and Power (c &amp; d) in </w:t>
      </w:r>
      <w:r w:rsidR="00506F55" w:rsidRPr="0046407C">
        <w:rPr>
          <w:rFonts w:asciiTheme="majorHAnsi" w:hAnsiTheme="majorHAnsi"/>
          <w:b/>
        </w:rPr>
        <w:t xml:space="preserve">NAND </w:t>
      </w:r>
      <w:r w:rsidRPr="0046407C">
        <w:rPr>
          <w:rFonts w:asciiTheme="majorHAnsi" w:hAnsiTheme="majorHAnsi"/>
          <w:b/>
        </w:rPr>
        <w:t>Ring Oscillator Configuration</w:t>
      </w:r>
    </w:p>
    <w:p w14:paraId="76B95994" w14:textId="77777777" w:rsidR="00D85C4B" w:rsidRPr="0046407C" w:rsidRDefault="00D85C4B" w:rsidP="00D85C4B">
      <w:pPr>
        <w:rPr>
          <w:rFonts w:asciiTheme="majorHAnsi" w:hAnsiTheme="majorHAnsi"/>
        </w:rPr>
      </w:pPr>
      <w:r w:rsidRPr="0046407C">
        <w:rPr>
          <w:rFonts w:asciiTheme="majorHAnsi" w:hAnsiTheme="majorHAnsi"/>
        </w:rPr>
        <w:t>As with the two-inverter gate ring oscillator, the frequency and power for the supply-biased gates were similar to that of the body-biased gates.  The supply-biased gates reacted similarly to body-biased gates which were biased with 10 times the voltage as that of the supply-biased gates, just as the two-inverter gates responded.</w:t>
      </w:r>
    </w:p>
    <w:p w14:paraId="3FAE782E" w14:textId="77777777" w:rsidR="004507AE" w:rsidRPr="0046407C" w:rsidRDefault="004507AE" w:rsidP="00D85C4B">
      <w:pPr>
        <w:rPr>
          <w:rFonts w:asciiTheme="majorHAnsi" w:hAnsiTheme="majorHAnsi"/>
        </w:rPr>
      </w:pPr>
      <w:r w:rsidRPr="0046407C">
        <w:rPr>
          <w:rFonts w:asciiTheme="majorHAnsi" w:hAnsiTheme="majorHAnsi"/>
        </w:rPr>
        <w:t>Similar to the NAND Gate methodology, we also sought to confirm that a supply-biased NOR gate in a ring oscillator configuration would give us results similar to body biasing.  Figure 6 shows the schematic for the supply-biased NOR gate.</w:t>
      </w:r>
    </w:p>
    <w:p w14:paraId="23454877" w14:textId="77777777" w:rsidR="004507AE" w:rsidRPr="0046407C" w:rsidRDefault="004507AE" w:rsidP="004507AE">
      <w:pPr>
        <w:jc w:val="center"/>
        <w:rPr>
          <w:rFonts w:asciiTheme="majorHAnsi" w:hAnsiTheme="majorHAnsi"/>
        </w:rPr>
      </w:pPr>
      <w:r w:rsidRPr="0046407C">
        <w:rPr>
          <w:rFonts w:asciiTheme="majorHAnsi" w:hAnsiTheme="majorHAnsi"/>
          <w:noProof/>
        </w:rPr>
        <w:drawing>
          <wp:inline distT="0" distB="0" distL="0" distR="0" wp14:anchorId="23D18BA6" wp14:editId="38E7128E">
            <wp:extent cx="5429250" cy="3451076"/>
            <wp:effectExtent l="0" t="0" r="0" b="0"/>
            <wp:docPr id="10" name="Picture 10" descr="C:\Users\Andy\AppData\Local\Temp\N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dy\AppData\Local\Temp\NO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6119" cy="3468155"/>
                    </a:xfrm>
                    <a:prstGeom prst="rect">
                      <a:avLst/>
                    </a:prstGeom>
                    <a:noFill/>
                    <a:ln>
                      <a:noFill/>
                    </a:ln>
                  </pic:spPr>
                </pic:pic>
              </a:graphicData>
            </a:graphic>
          </wp:inline>
        </w:drawing>
      </w:r>
    </w:p>
    <w:p w14:paraId="33F9C935" w14:textId="77777777" w:rsidR="004507AE" w:rsidRPr="0046407C" w:rsidRDefault="004507AE" w:rsidP="00506F55">
      <w:pPr>
        <w:jc w:val="center"/>
        <w:rPr>
          <w:rFonts w:asciiTheme="majorHAnsi" w:hAnsiTheme="majorHAnsi"/>
          <w:b/>
        </w:rPr>
      </w:pPr>
      <w:r w:rsidRPr="0046407C">
        <w:rPr>
          <w:rFonts w:asciiTheme="majorHAnsi" w:hAnsiTheme="majorHAnsi"/>
          <w:b/>
        </w:rPr>
        <w:t xml:space="preserve">Figure 6: </w:t>
      </w:r>
      <w:r w:rsidR="00506F55" w:rsidRPr="0046407C">
        <w:rPr>
          <w:rFonts w:asciiTheme="majorHAnsi" w:hAnsiTheme="majorHAnsi"/>
          <w:b/>
        </w:rPr>
        <w:t xml:space="preserve"> Schematic of Supply-Biased NOR Gate</w:t>
      </w:r>
    </w:p>
    <w:p w14:paraId="10A8D724" w14:textId="77777777" w:rsidR="00506F55" w:rsidRPr="0046407C" w:rsidRDefault="00506F55" w:rsidP="00506F55">
      <w:pPr>
        <w:rPr>
          <w:rFonts w:asciiTheme="majorHAnsi" w:hAnsiTheme="majorHAnsi"/>
        </w:rPr>
      </w:pPr>
      <w:r w:rsidRPr="0046407C">
        <w:rPr>
          <w:rFonts w:asciiTheme="majorHAnsi" w:hAnsiTheme="majorHAnsi"/>
        </w:rPr>
        <w:lastRenderedPageBreak/>
        <w:t>The body-biased NOR gate was constructed similarly to the body-biased NAND gate.  Figure 7 shows the power and frequency of the supply and body-biased NOR ring oscillator.</w:t>
      </w:r>
    </w:p>
    <w:p w14:paraId="38522E3C" w14:textId="77777777" w:rsidR="00506F55" w:rsidRPr="0046407C" w:rsidRDefault="00506F55" w:rsidP="00506F55">
      <w:pPr>
        <w:rPr>
          <w:rFonts w:asciiTheme="majorHAnsi" w:hAnsiTheme="majorHAnsi"/>
        </w:rPr>
      </w:pPr>
      <w:r w:rsidRPr="0046407C">
        <w:rPr>
          <w:rFonts w:asciiTheme="majorHAnsi" w:hAnsiTheme="majorHAnsi"/>
          <w:noProof/>
        </w:rPr>
        <w:drawing>
          <wp:inline distT="0" distB="0" distL="0" distR="0" wp14:anchorId="13BFB4B8" wp14:editId="3C84B63C">
            <wp:extent cx="6124575" cy="1800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33216" cy="1802765"/>
                    </a:xfrm>
                    <a:prstGeom prst="rect">
                      <a:avLst/>
                    </a:prstGeom>
                  </pic:spPr>
                </pic:pic>
              </a:graphicData>
            </a:graphic>
          </wp:inline>
        </w:drawing>
      </w:r>
    </w:p>
    <w:p w14:paraId="43C48971" w14:textId="77777777" w:rsidR="00506F55" w:rsidRPr="0046407C" w:rsidRDefault="00506F55" w:rsidP="00506F55">
      <w:pPr>
        <w:pStyle w:val="ListParagraph"/>
        <w:numPr>
          <w:ilvl w:val="0"/>
          <w:numId w:val="3"/>
        </w:numPr>
        <w:rPr>
          <w:rFonts w:asciiTheme="majorHAnsi" w:hAnsiTheme="majorHAnsi"/>
        </w:rPr>
      </w:pPr>
      <w:r w:rsidRPr="0046407C">
        <w:rPr>
          <w:rFonts w:asciiTheme="majorHAnsi" w:hAnsiTheme="majorHAnsi"/>
        </w:rPr>
        <w:t xml:space="preserve">                                                                                             (b)</w:t>
      </w:r>
    </w:p>
    <w:p w14:paraId="65D97F20" w14:textId="77777777" w:rsidR="00506F55" w:rsidRPr="0046407C" w:rsidRDefault="00506F55" w:rsidP="00506F55">
      <w:pPr>
        <w:rPr>
          <w:rFonts w:asciiTheme="majorHAnsi" w:hAnsiTheme="majorHAnsi"/>
        </w:rPr>
      </w:pPr>
      <w:r w:rsidRPr="0046407C">
        <w:rPr>
          <w:rFonts w:asciiTheme="majorHAnsi" w:hAnsiTheme="majorHAnsi"/>
          <w:noProof/>
        </w:rPr>
        <w:drawing>
          <wp:inline distT="0" distB="0" distL="0" distR="0" wp14:anchorId="4A4FE8E6" wp14:editId="76A695DE">
            <wp:extent cx="6124575" cy="1800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133216" cy="1802765"/>
                    </a:xfrm>
                    <a:prstGeom prst="rect">
                      <a:avLst/>
                    </a:prstGeom>
                  </pic:spPr>
                </pic:pic>
              </a:graphicData>
            </a:graphic>
          </wp:inline>
        </w:drawing>
      </w:r>
    </w:p>
    <w:p w14:paraId="63EEEEFA" w14:textId="77777777" w:rsidR="00506F55" w:rsidRPr="0046407C" w:rsidRDefault="00506F55" w:rsidP="00506F55">
      <w:pPr>
        <w:rPr>
          <w:rFonts w:asciiTheme="majorHAnsi" w:hAnsiTheme="majorHAnsi"/>
        </w:rPr>
      </w:pPr>
      <w:r w:rsidRPr="0046407C">
        <w:rPr>
          <w:rFonts w:asciiTheme="majorHAnsi" w:hAnsiTheme="majorHAnsi"/>
        </w:rPr>
        <w:tab/>
      </w:r>
      <w:r w:rsidRPr="0046407C">
        <w:rPr>
          <w:rFonts w:asciiTheme="majorHAnsi" w:hAnsiTheme="majorHAnsi"/>
        </w:rPr>
        <w:tab/>
      </w:r>
      <w:r w:rsidRPr="0046407C">
        <w:rPr>
          <w:rFonts w:asciiTheme="majorHAnsi" w:hAnsiTheme="majorHAnsi"/>
        </w:rPr>
        <w:tab/>
        <w:t xml:space="preserve">  (c)                                                                                               (d)</w:t>
      </w:r>
    </w:p>
    <w:p w14:paraId="6379691B" w14:textId="5C3FAFF3" w:rsidR="00DC1389" w:rsidRPr="00F31FF9" w:rsidRDefault="00506F55" w:rsidP="00F31FF9">
      <w:pPr>
        <w:jc w:val="center"/>
        <w:rPr>
          <w:rFonts w:asciiTheme="majorHAnsi" w:hAnsiTheme="majorHAnsi"/>
          <w:b/>
        </w:rPr>
      </w:pPr>
      <w:r w:rsidRPr="0046407C">
        <w:rPr>
          <w:rFonts w:asciiTheme="majorHAnsi" w:hAnsiTheme="majorHAnsi"/>
          <w:b/>
        </w:rPr>
        <w:t>Figure 7:  Body Bias vs. Supply Bias Frequency (a &amp; b) and Power (c &amp; d) in NOR Ring Oscillator Configuration</w:t>
      </w:r>
    </w:p>
    <w:p w14:paraId="43C22625" w14:textId="5191BB81" w:rsidR="00B55123" w:rsidRPr="0046407C" w:rsidRDefault="00B55123" w:rsidP="00B55123">
      <w:pPr>
        <w:rPr>
          <w:rFonts w:asciiTheme="majorHAnsi" w:hAnsiTheme="majorHAnsi"/>
        </w:rPr>
      </w:pPr>
      <w:r w:rsidRPr="0046407C">
        <w:rPr>
          <w:rFonts w:asciiTheme="majorHAnsi" w:hAnsiTheme="majorHAnsi"/>
        </w:rPr>
        <w:t>All of these simulations have been conducted with a V</w:t>
      </w:r>
      <w:r w:rsidR="00B5769C" w:rsidRPr="00B5769C">
        <w:rPr>
          <w:rFonts w:asciiTheme="majorHAnsi" w:hAnsiTheme="majorHAnsi"/>
          <w:vertAlign w:val="subscript"/>
        </w:rPr>
        <w:t>DD</w:t>
      </w:r>
      <w:r w:rsidRPr="0046407C">
        <w:rPr>
          <w:rFonts w:asciiTheme="majorHAnsi" w:hAnsiTheme="majorHAnsi"/>
        </w:rPr>
        <w:t xml:space="preserve"> of 1.1 V, but we want to confirm that these techniques work for in sub-threshold conditions as well.  Therefore, we conducted a short analysis of the inverter gates with the supply voltage less than the threshold voltage.  Figure 8 reminds the reader of the two-inverter </w:t>
      </w:r>
      <w:r w:rsidR="001645A4" w:rsidRPr="0046407C">
        <w:rPr>
          <w:rFonts w:asciiTheme="majorHAnsi" w:hAnsiTheme="majorHAnsi"/>
        </w:rPr>
        <w:t>gate that was first</w:t>
      </w:r>
      <w:r w:rsidRPr="0046407C">
        <w:rPr>
          <w:rFonts w:asciiTheme="majorHAnsi" w:hAnsiTheme="majorHAnsi"/>
        </w:rPr>
        <w:t xml:space="preserve"> tested before design review I.</w:t>
      </w:r>
    </w:p>
    <w:p w14:paraId="0A3E4484" w14:textId="77777777" w:rsidR="00B55123" w:rsidRPr="0046407C" w:rsidRDefault="00B55123" w:rsidP="00B55123">
      <w:pPr>
        <w:rPr>
          <w:rFonts w:asciiTheme="majorHAnsi" w:hAnsiTheme="majorHAnsi"/>
        </w:rPr>
      </w:pPr>
      <w:r w:rsidRPr="0046407C">
        <w:rPr>
          <w:rFonts w:asciiTheme="majorHAnsi" w:hAnsiTheme="majorHAnsi"/>
          <w:noProof/>
        </w:rPr>
        <w:lastRenderedPageBreak/>
        <w:drawing>
          <wp:inline distT="0" distB="0" distL="0" distR="0" wp14:anchorId="6FD06F70" wp14:editId="2A501D64">
            <wp:extent cx="5581650" cy="3551067"/>
            <wp:effectExtent l="0" t="0" r="0" b="0"/>
            <wp:docPr id="13" name="Picture 13" descr="C:\Users\Andy\AppData\Local\Temp\DelVG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dy\AppData\Local\Temp\DelVGate.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3551067"/>
                    </a:xfrm>
                    <a:prstGeom prst="rect">
                      <a:avLst/>
                    </a:prstGeom>
                    <a:noFill/>
                    <a:ln>
                      <a:noFill/>
                    </a:ln>
                  </pic:spPr>
                </pic:pic>
              </a:graphicData>
            </a:graphic>
          </wp:inline>
        </w:drawing>
      </w:r>
    </w:p>
    <w:p w14:paraId="11D74516" w14:textId="77777777" w:rsidR="00B55123" w:rsidRPr="0046407C" w:rsidRDefault="00B55123" w:rsidP="00B55123">
      <w:pPr>
        <w:jc w:val="center"/>
        <w:rPr>
          <w:rFonts w:asciiTheme="majorHAnsi" w:hAnsiTheme="majorHAnsi"/>
          <w:b/>
        </w:rPr>
      </w:pPr>
      <w:r w:rsidRPr="0046407C">
        <w:rPr>
          <w:rFonts w:asciiTheme="majorHAnsi" w:hAnsiTheme="majorHAnsi"/>
          <w:b/>
        </w:rPr>
        <w:t>Figure 8:  Supply-Biased Two-Inverter Gate</w:t>
      </w:r>
    </w:p>
    <w:p w14:paraId="0A821B43" w14:textId="77777777" w:rsidR="00B55123" w:rsidRPr="0046407C" w:rsidRDefault="00E305FE" w:rsidP="00B55123">
      <w:pPr>
        <w:rPr>
          <w:rFonts w:asciiTheme="majorHAnsi" w:hAnsiTheme="majorHAnsi"/>
        </w:rPr>
      </w:pPr>
      <w:r w:rsidRPr="0046407C">
        <w:rPr>
          <w:rFonts w:asciiTheme="majorHAnsi" w:hAnsiTheme="majorHAnsi"/>
        </w:rPr>
        <w:t>We used a nominal voltage of 0.275 V (V</w:t>
      </w:r>
      <w:r w:rsidRPr="0046407C">
        <w:rPr>
          <w:rFonts w:asciiTheme="majorHAnsi" w:hAnsiTheme="majorHAnsi"/>
          <w:vertAlign w:val="subscript"/>
        </w:rPr>
        <w:t>t</w:t>
      </w:r>
      <w:r w:rsidRPr="0046407C">
        <w:rPr>
          <w:rFonts w:asciiTheme="majorHAnsi" w:hAnsiTheme="majorHAnsi"/>
        </w:rPr>
        <w:t xml:space="preserve"> is about 0.4 V for this technology).  Figure 9 shows the waveform for bias voltages of -0.02 V, 0 V, and 0.02 V.</w:t>
      </w:r>
    </w:p>
    <w:p w14:paraId="3C5C8AA5" w14:textId="77777777" w:rsidR="00E305FE" w:rsidRPr="0046407C" w:rsidRDefault="00E305FE" w:rsidP="009C6DA3">
      <w:pPr>
        <w:jc w:val="center"/>
        <w:rPr>
          <w:rFonts w:asciiTheme="majorHAnsi" w:hAnsiTheme="majorHAnsi"/>
        </w:rPr>
      </w:pPr>
      <w:r w:rsidRPr="0046407C">
        <w:rPr>
          <w:rFonts w:asciiTheme="majorHAnsi" w:hAnsiTheme="majorHAnsi"/>
          <w:noProof/>
        </w:rPr>
        <w:drawing>
          <wp:inline distT="0" distB="0" distL="0" distR="0" wp14:anchorId="5E8448FD" wp14:editId="13F0EC94">
            <wp:extent cx="4095750" cy="3229599"/>
            <wp:effectExtent l="0" t="0" r="0" b="9525"/>
            <wp:docPr id="14" name="Picture 14" descr="C:\Users\Andy\AppData\Local\Temp\Su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ndy\AppData\Local\Temp\SubT.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02911" cy="3235246"/>
                    </a:xfrm>
                    <a:prstGeom prst="rect">
                      <a:avLst/>
                    </a:prstGeom>
                    <a:noFill/>
                    <a:ln>
                      <a:noFill/>
                    </a:ln>
                  </pic:spPr>
                </pic:pic>
              </a:graphicData>
            </a:graphic>
          </wp:inline>
        </w:drawing>
      </w:r>
    </w:p>
    <w:p w14:paraId="453FA359" w14:textId="77777777" w:rsidR="00E305FE" w:rsidRPr="0046407C" w:rsidRDefault="00E305FE" w:rsidP="00E305FE">
      <w:pPr>
        <w:jc w:val="center"/>
        <w:rPr>
          <w:rFonts w:asciiTheme="majorHAnsi" w:hAnsiTheme="majorHAnsi"/>
          <w:b/>
        </w:rPr>
      </w:pPr>
      <w:r w:rsidRPr="0046407C">
        <w:rPr>
          <w:rFonts w:asciiTheme="majorHAnsi" w:hAnsiTheme="majorHAnsi"/>
          <w:b/>
        </w:rPr>
        <w:t>Figure 9:  Two-Inverter Gate Ring Oscillator Sub-Threshold Response</w:t>
      </w:r>
    </w:p>
    <w:p w14:paraId="37F6E351" w14:textId="157B7F35" w:rsidR="00987BFF" w:rsidRDefault="00E305FE" w:rsidP="00DC1389">
      <w:pPr>
        <w:rPr>
          <w:rFonts w:asciiTheme="majorHAnsi" w:hAnsiTheme="majorHAnsi"/>
        </w:rPr>
      </w:pPr>
      <w:r w:rsidRPr="0046407C">
        <w:rPr>
          <w:rFonts w:asciiTheme="majorHAnsi" w:hAnsiTheme="majorHAnsi"/>
        </w:rPr>
        <w:lastRenderedPageBreak/>
        <w:t>There is a sharp increase in frequency as the bias voltage increases.  Because sub-threshold operation deals only with leakage voltage, the frequency is expected to change exponentially because leakage current increases exponentially with V</w:t>
      </w:r>
      <w:r w:rsidRPr="0046407C">
        <w:rPr>
          <w:rFonts w:asciiTheme="majorHAnsi" w:hAnsiTheme="majorHAnsi"/>
          <w:vertAlign w:val="subscript"/>
        </w:rPr>
        <w:t>gs</w:t>
      </w:r>
      <w:r w:rsidRPr="0046407C">
        <w:rPr>
          <w:rFonts w:asciiTheme="majorHAnsi" w:hAnsiTheme="majorHAnsi"/>
        </w:rPr>
        <w:t>.</w:t>
      </w:r>
    </w:p>
    <w:p w14:paraId="7E92B04B" w14:textId="7DC7DA4B" w:rsidR="00FD2820" w:rsidRPr="00BB2620" w:rsidRDefault="00BB2620" w:rsidP="00BB2620">
      <w:pPr>
        <w:jc w:val="center"/>
        <w:rPr>
          <w:rFonts w:asciiTheme="majorHAnsi" w:hAnsiTheme="majorHAnsi"/>
          <w:b/>
        </w:rPr>
      </w:pPr>
      <w:r>
        <w:rPr>
          <w:rFonts w:asciiTheme="majorHAnsi" w:hAnsiTheme="majorHAnsi"/>
          <w:b/>
        </w:rPr>
        <w:t>REPORT</w:t>
      </w:r>
    </w:p>
    <w:p w14:paraId="2BB5A3AE" w14:textId="72550EC5" w:rsidR="006472BE" w:rsidRPr="006472BE" w:rsidRDefault="006472BE" w:rsidP="001401B3">
      <w:pPr>
        <w:spacing w:after="0"/>
        <w:rPr>
          <w:rFonts w:asciiTheme="majorHAnsi" w:hAnsiTheme="majorHAnsi"/>
          <w:b/>
        </w:rPr>
      </w:pPr>
      <w:r>
        <w:rPr>
          <w:rFonts w:asciiTheme="majorHAnsi" w:hAnsiTheme="majorHAnsi"/>
          <w:b/>
        </w:rPr>
        <w:t>Current Progress</w:t>
      </w:r>
    </w:p>
    <w:p w14:paraId="4D68D8A5" w14:textId="3343E696" w:rsidR="002110C8" w:rsidRPr="00147B94" w:rsidRDefault="00E336A4" w:rsidP="001401B3">
      <w:pPr>
        <w:spacing w:after="0"/>
        <w:ind w:firstLine="720"/>
        <w:rPr>
          <w:rFonts w:asciiTheme="majorHAnsi" w:hAnsiTheme="majorHAnsi"/>
        </w:rPr>
      </w:pPr>
      <w:r>
        <w:rPr>
          <w:rFonts w:asciiTheme="majorHAnsi" w:hAnsiTheme="majorHAnsi"/>
        </w:rPr>
        <w:t xml:space="preserve">Since the proposal, we have moved on to simulating ring oscillators constructed from supply voltage biased </w:t>
      </w:r>
      <w:r w:rsidR="00AF7941">
        <w:rPr>
          <w:rFonts w:asciiTheme="majorHAnsi" w:hAnsiTheme="majorHAnsi"/>
        </w:rPr>
        <w:t>4-input, 2-output</w:t>
      </w:r>
      <w:r w:rsidR="000B5750">
        <w:rPr>
          <w:rFonts w:asciiTheme="majorHAnsi" w:hAnsiTheme="majorHAnsi"/>
        </w:rPr>
        <w:t xml:space="preserve"> </w:t>
      </w:r>
      <w:r>
        <w:rPr>
          <w:rFonts w:asciiTheme="majorHAnsi" w:hAnsiTheme="majorHAnsi"/>
        </w:rPr>
        <w:t xml:space="preserve">NAND and NOR gates.  </w:t>
      </w:r>
      <w:r w:rsidR="00363334">
        <w:rPr>
          <w:rFonts w:asciiTheme="majorHAnsi" w:hAnsiTheme="majorHAnsi"/>
        </w:rPr>
        <w:t xml:space="preserve">They present very similar results to </w:t>
      </w:r>
      <w:r w:rsidR="00421388">
        <w:rPr>
          <w:rFonts w:asciiTheme="majorHAnsi" w:hAnsiTheme="majorHAnsi"/>
        </w:rPr>
        <w:t>the inverter-constructed ring oscillator</w:t>
      </w:r>
      <w:r w:rsidR="00363334">
        <w:rPr>
          <w:rFonts w:asciiTheme="majorHAnsi" w:hAnsiTheme="majorHAnsi"/>
        </w:rPr>
        <w:t xml:space="preserve"> (see simulations), demonstrating the effectiveness of supply voltage biasing on these other commonly used gates.  </w:t>
      </w:r>
      <w:r w:rsidR="00147B94">
        <w:rPr>
          <w:rFonts w:asciiTheme="majorHAnsi" w:hAnsiTheme="majorHAnsi"/>
        </w:rPr>
        <w:t xml:space="preserve">We opted to pursue the above applications instead of </w:t>
      </w:r>
      <w:r w:rsidR="002D67A3">
        <w:rPr>
          <w:rFonts w:asciiTheme="majorHAnsi" w:hAnsiTheme="majorHAnsi"/>
        </w:rPr>
        <w:t>exploring leakage and short circuit currents as depicted in our project proposal</w:t>
      </w:r>
      <w:r w:rsidR="008612FA">
        <w:rPr>
          <w:rFonts w:asciiTheme="majorHAnsi" w:hAnsiTheme="majorHAnsi"/>
        </w:rPr>
        <w:t>.</w:t>
      </w:r>
    </w:p>
    <w:p w14:paraId="7EF2F69F" w14:textId="2FFCECA3" w:rsidR="00DC1389" w:rsidRPr="0046407C" w:rsidRDefault="00895DDF" w:rsidP="001401B3">
      <w:pPr>
        <w:spacing w:after="0"/>
        <w:rPr>
          <w:rFonts w:asciiTheme="majorHAnsi" w:hAnsiTheme="majorHAnsi"/>
          <w:b/>
        </w:rPr>
      </w:pPr>
      <w:r>
        <w:rPr>
          <w:rFonts w:asciiTheme="majorHAnsi" w:hAnsiTheme="majorHAnsi"/>
          <w:b/>
        </w:rPr>
        <w:t>Challenges and New Design Considerations</w:t>
      </w:r>
    </w:p>
    <w:p w14:paraId="49EC3A35" w14:textId="3DDBE74A" w:rsidR="00506F55" w:rsidRPr="0046407C" w:rsidRDefault="00DC1389" w:rsidP="001401B3">
      <w:pPr>
        <w:spacing w:after="0"/>
        <w:ind w:firstLine="720"/>
        <w:rPr>
          <w:rFonts w:asciiTheme="majorHAnsi" w:hAnsiTheme="majorHAnsi"/>
        </w:rPr>
      </w:pPr>
      <w:r w:rsidRPr="0046407C">
        <w:rPr>
          <w:rFonts w:asciiTheme="majorHAnsi" w:hAnsiTheme="majorHAnsi"/>
        </w:rPr>
        <w:t>Thus far, we have designed our gates such that there i</w:t>
      </w:r>
      <w:r w:rsidR="00FB040D">
        <w:rPr>
          <w:rFonts w:asciiTheme="majorHAnsi" w:hAnsiTheme="majorHAnsi"/>
        </w:rPr>
        <w:t xml:space="preserve">s one half of the gate </w:t>
      </w:r>
      <w:r w:rsidRPr="0046407C">
        <w:rPr>
          <w:rFonts w:asciiTheme="majorHAnsi" w:hAnsiTheme="majorHAnsi"/>
        </w:rPr>
        <w:t>shifted up by some bias</w:t>
      </w:r>
      <w:r w:rsidR="007B2585">
        <w:rPr>
          <w:rFonts w:asciiTheme="majorHAnsi" w:hAnsiTheme="majorHAnsi"/>
        </w:rPr>
        <w:t xml:space="preserve"> voltage, and one half </w:t>
      </w:r>
      <w:r w:rsidRPr="0046407C">
        <w:rPr>
          <w:rFonts w:asciiTheme="majorHAnsi" w:hAnsiTheme="majorHAnsi"/>
        </w:rPr>
        <w:t>shifted down by the same voltage, but the difference in supply voltages for each half of the gate is still V</w:t>
      </w:r>
      <w:r w:rsidRPr="00160279">
        <w:rPr>
          <w:rFonts w:asciiTheme="majorHAnsi" w:hAnsiTheme="majorHAnsi"/>
          <w:vertAlign w:val="subscript"/>
        </w:rPr>
        <w:t>DD</w:t>
      </w:r>
      <w:r w:rsidRPr="0046407C">
        <w:rPr>
          <w:rFonts w:asciiTheme="majorHAnsi" w:hAnsiTheme="majorHAnsi"/>
        </w:rPr>
        <w:t xml:space="preserve">.  We have scheduled a tape out for February which will incorporate some application of these gates, and we therefore need </w:t>
      </w:r>
      <w:r w:rsidR="00DB5214" w:rsidRPr="0046407C">
        <w:rPr>
          <w:rFonts w:asciiTheme="majorHAnsi" w:hAnsiTheme="majorHAnsi"/>
        </w:rPr>
        <w:t xml:space="preserve">to begin realizing a way to obtain </w:t>
      </w:r>
      <w:r w:rsidRPr="0046407C">
        <w:rPr>
          <w:rFonts w:asciiTheme="majorHAnsi" w:hAnsiTheme="majorHAnsi"/>
        </w:rPr>
        <w:t>these voltage differences and ranges.  We have begun brainstorming ideas to be tested in the next few weeks.  One such idea is to only shift one half up by twice the bias while keeping the bottom half supplies at 0 and V</w:t>
      </w:r>
      <w:r w:rsidRPr="00B75012">
        <w:rPr>
          <w:rFonts w:asciiTheme="majorHAnsi" w:hAnsiTheme="majorHAnsi"/>
          <w:vertAlign w:val="subscript"/>
        </w:rPr>
        <w:t>DD</w:t>
      </w:r>
      <w:r w:rsidRPr="0046407C">
        <w:rPr>
          <w:rFonts w:asciiTheme="majorHAnsi" w:hAnsiTheme="majorHAnsi"/>
        </w:rPr>
        <w:t>.  This will require that only two voltages other than that supplied to the chip will need to be maintained (V</w:t>
      </w:r>
      <w:r w:rsidR="00160279" w:rsidRPr="00160279">
        <w:rPr>
          <w:rFonts w:asciiTheme="majorHAnsi" w:hAnsiTheme="majorHAnsi"/>
          <w:vertAlign w:val="subscript"/>
        </w:rPr>
        <w:t>SS</w:t>
      </w:r>
      <w:r w:rsidRPr="00160279">
        <w:rPr>
          <w:rFonts w:asciiTheme="majorHAnsi" w:hAnsiTheme="majorHAnsi"/>
          <w:vertAlign w:val="subscript"/>
        </w:rPr>
        <w:t>+</w:t>
      </w:r>
      <w:r w:rsidR="00160279">
        <w:rPr>
          <w:rFonts w:asciiTheme="majorHAnsi" w:hAnsiTheme="majorHAnsi"/>
        </w:rPr>
        <w:t xml:space="preserve"> a</w:t>
      </w:r>
      <w:r w:rsidRPr="0046407C">
        <w:rPr>
          <w:rFonts w:asciiTheme="majorHAnsi" w:hAnsiTheme="majorHAnsi"/>
        </w:rPr>
        <w:t>nd V</w:t>
      </w:r>
      <w:r w:rsidR="00160279" w:rsidRPr="00160279">
        <w:rPr>
          <w:rFonts w:asciiTheme="majorHAnsi" w:hAnsiTheme="majorHAnsi"/>
          <w:vertAlign w:val="subscript"/>
        </w:rPr>
        <w:t>DD</w:t>
      </w:r>
      <w:r w:rsidRPr="00160279">
        <w:rPr>
          <w:rFonts w:asciiTheme="majorHAnsi" w:hAnsiTheme="majorHAnsi"/>
          <w:vertAlign w:val="subscript"/>
        </w:rPr>
        <w:t>+</w:t>
      </w:r>
      <w:r w:rsidRPr="0046407C">
        <w:rPr>
          <w:rFonts w:asciiTheme="majorHAnsi" w:hAnsiTheme="majorHAnsi"/>
        </w:rPr>
        <w:t>).  This is expected to yield similar results</w:t>
      </w:r>
      <w:r w:rsidR="00DB5214" w:rsidRPr="0046407C">
        <w:rPr>
          <w:rFonts w:asciiTheme="majorHAnsi" w:hAnsiTheme="majorHAnsi"/>
        </w:rPr>
        <w:t xml:space="preserve"> related to frequency and power consumption</w:t>
      </w:r>
      <w:r w:rsidRPr="0046407C">
        <w:rPr>
          <w:rFonts w:asciiTheme="majorHAnsi" w:hAnsiTheme="majorHAnsi"/>
        </w:rPr>
        <w:t xml:space="preserve">.  Another idea is to supply the up-shifted gate with voltages ranging </w:t>
      </w:r>
      <w:r w:rsidR="00160279">
        <w:rPr>
          <w:rFonts w:asciiTheme="majorHAnsi" w:hAnsiTheme="majorHAnsi"/>
        </w:rPr>
        <w:t>from 0 + the bias voltage to V</w:t>
      </w:r>
      <w:r w:rsidR="00962575" w:rsidRPr="00160279">
        <w:rPr>
          <w:rFonts w:asciiTheme="majorHAnsi" w:hAnsiTheme="majorHAnsi"/>
          <w:vertAlign w:val="subscript"/>
        </w:rPr>
        <w:t>DD</w:t>
      </w:r>
      <w:r w:rsidRPr="0046407C">
        <w:rPr>
          <w:rFonts w:asciiTheme="majorHAnsi" w:hAnsiTheme="majorHAnsi"/>
        </w:rPr>
        <w:t xml:space="preserve">, and the </w:t>
      </w:r>
      <w:r w:rsidR="00DD2C41" w:rsidRPr="0046407C">
        <w:rPr>
          <w:rFonts w:asciiTheme="majorHAnsi" w:hAnsiTheme="majorHAnsi"/>
        </w:rPr>
        <w:t>downshifted</w:t>
      </w:r>
      <w:r w:rsidRPr="0046407C">
        <w:rPr>
          <w:rFonts w:asciiTheme="majorHAnsi" w:hAnsiTheme="majorHAnsi"/>
        </w:rPr>
        <w:t xml:space="preserve"> gate with voltages ranging from 0 to V</w:t>
      </w:r>
      <w:r w:rsidR="00707C27" w:rsidRPr="00160279">
        <w:rPr>
          <w:rFonts w:asciiTheme="majorHAnsi" w:hAnsiTheme="majorHAnsi"/>
          <w:vertAlign w:val="subscript"/>
        </w:rPr>
        <w:t>DD</w:t>
      </w:r>
      <w:r w:rsidRPr="0046407C">
        <w:rPr>
          <w:rFonts w:asciiTheme="majorHAnsi" w:hAnsiTheme="majorHAnsi"/>
        </w:rPr>
        <w:t xml:space="preserve"> – the bias voltage.  The advantage here is that this design will not require a charge pump, but problems may arise due to the difference in the supply voltages to each “half” gate changing as the bias voltage changes.  As stated before, these ideas will be either confirmed or proven faulty in </w:t>
      </w:r>
      <w:r w:rsidR="00CF5038" w:rsidRPr="0046407C">
        <w:rPr>
          <w:rFonts w:asciiTheme="majorHAnsi" w:hAnsiTheme="majorHAnsi"/>
        </w:rPr>
        <w:t xml:space="preserve">the upcoming weeks. </w:t>
      </w:r>
    </w:p>
    <w:p w14:paraId="7053328E" w14:textId="42C76C05" w:rsidR="00895DDF" w:rsidRPr="00895DDF" w:rsidRDefault="00895DDF" w:rsidP="001401B3">
      <w:pPr>
        <w:spacing w:after="0"/>
        <w:rPr>
          <w:rFonts w:asciiTheme="majorHAnsi" w:hAnsiTheme="majorHAnsi"/>
          <w:b/>
        </w:rPr>
      </w:pPr>
      <w:r>
        <w:rPr>
          <w:rFonts w:asciiTheme="majorHAnsi" w:hAnsiTheme="majorHAnsi"/>
          <w:b/>
        </w:rPr>
        <w:t>Next Steps</w:t>
      </w:r>
    </w:p>
    <w:p w14:paraId="73DE5E95" w14:textId="544829E0" w:rsidR="007E3721" w:rsidRDefault="008612FA" w:rsidP="00611970">
      <w:pPr>
        <w:spacing w:after="0"/>
        <w:ind w:firstLine="720"/>
        <w:rPr>
          <w:rFonts w:asciiTheme="majorHAnsi" w:hAnsiTheme="majorHAnsi"/>
        </w:rPr>
      </w:pPr>
      <w:r>
        <w:rPr>
          <w:rFonts w:asciiTheme="majorHAnsi" w:hAnsiTheme="majorHAnsi"/>
        </w:rPr>
        <w:t xml:space="preserve">The successful results from simulated applications thus far have given us motivation to move on to </w:t>
      </w:r>
      <w:r>
        <w:rPr>
          <w:rFonts w:asciiTheme="majorHAnsi" w:hAnsiTheme="majorHAnsi"/>
        </w:rPr>
        <w:t xml:space="preserve">testing </w:t>
      </w:r>
      <w:r w:rsidR="00E36D3F">
        <w:rPr>
          <w:rFonts w:asciiTheme="majorHAnsi" w:hAnsiTheme="majorHAnsi"/>
        </w:rPr>
        <w:t>applications beyond</w:t>
      </w:r>
      <w:r w:rsidR="00BC5323">
        <w:rPr>
          <w:rFonts w:asciiTheme="majorHAnsi" w:hAnsiTheme="majorHAnsi"/>
        </w:rPr>
        <w:t xml:space="preserve"> the ring oscillator.</w:t>
      </w:r>
      <w:r>
        <w:rPr>
          <w:rFonts w:asciiTheme="majorHAnsi" w:hAnsiTheme="majorHAnsi"/>
        </w:rPr>
        <w:t xml:space="preserve">  </w:t>
      </w:r>
      <w:r w:rsidR="00B50EEE">
        <w:rPr>
          <w:rFonts w:asciiTheme="majorHAnsi" w:hAnsiTheme="majorHAnsi"/>
        </w:rPr>
        <w:t xml:space="preserve">These applications include </w:t>
      </w:r>
      <w:r w:rsidR="00E338F9">
        <w:rPr>
          <w:rFonts w:asciiTheme="majorHAnsi" w:hAnsiTheme="majorHAnsi"/>
        </w:rPr>
        <w:t>a</w:t>
      </w:r>
      <w:r w:rsidR="00D61D31">
        <w:rPr>
          <w:rFonts w:asciiTheme="majorHAnsi" w:hAnsiTheme="majorHAnsi"/>
        </w:rPr>
        <w:t xml:space="preserve"> half adder, a full adder, and </w:t>
      </w:r>
      <w:r w:rsidR="00CF5038" w:rsidRPr="0046407C">
        <w:rPr>
          <w:rFonts w:asciiTheme="majorHAnsi" w:hAnsiTheme="majorHAnsi"/>
        </w:rPr>
        <w:t>a multiplier.  At the gate level, we will apply the same supply-biasing techniques tested in the ring oscillators and see if we can create a “knob” for changing the delay and/or power of these applications.</w:t>
      </w:r>
    </w:p>
    <w:p w14:paraId="12D4AA36" w14:textId="77777777" w:rsidR="001401B3" w:rsidRPr="0046407C" w:rsidRDefault="001401B3" w:rsidP="001401B3">
      <w:pPr>
        <w:spacing w:after="0"/>
        <w:rPr>
          <w:rFonts w:asciiTheme="majorHAnsi" w:hAnsiTheme="majorHAnsi"/>
        </w:rPr>
      </w:pPr>
    </w:p>
    <w:p w14:paraId="7D451689" w14:textId="77777777" w:rsidR="007E3721" w:rsidRPr="008C5E53" w:rsidRDefault="007E3721" w:rsidP="006110DE">
      <w:pPr>
        <w:spacing w:after="0" w:line="480" w:lineRule="auto"/>
        <w:rPr>
          <w:rFonts w:asciiTheme="majorHAnsi" w:hAnsiTheme="majorHAnsi"/>
          <w:b/>
        </w:rPr>
      </w:pPr>
      <w:r w:rsidRPr="008C5E53">
        <w:rPr>
          <w:rFonts w:asciiTheme="majorHAnsi" w:hAnsiTheme="majorHAnsi"/>
          <w:b/>
        </w:rPr>
        <w:t>References</w:t>
      </w:r>
    </w:p>
    <w:p w14:paraId="580C37BC" w14:textId="71400B01" w:rsidR="008C5E53" w:rsidRDefault="000E763F" w:rsidP="000E763F">
      <w:pPr>
        <w:spacing w:after="0" w:line="240" w:lineRule="auto"/>
        <w:rPr>
          <w:rFonts w:asciiTheme="majorHAnsi" w:eastAsia="Times New Roman" w:hAnsiTheme="majorHAnsi" w:cs="Times New Roman"/>
        </w:rPr>
      </w:pPr>
      <w:r w:rsidRPr="008C5E53">
        <w:rPr>
          <w:rFonts w:asciiTheme="majorHAnsi" w:eastAsia="Times New Roman" w:hAnsiTheme="majorHAnsi" w:cs="Times New Roman"/>
        </w:rPr>
        <w:t>[1]</w:t>
      </w:r>
      <w:r w:rsidR="007E3721" w:rsidRPr="008C5E53">
        <w:rPr>
          <w:rFonts w:asciiTheme="majorHAnsi" w:eastAsia="Times New Roman" w:hAnsiTheme="majorHAnsi" w:cs="Times New Roman"/>
        </w:rPr>
        <w:t xml:space="preserve"> </w:t>
      </w:r>
      <w:r w:rsidR="008C5E53" w:rsidRPr="008C5E53">
        <w:rPr>
          <w:rFonts w:asciiTheme="majorHAnsi" w:eastAsia="Times New Roman" w:hAnsiTheme="majorHAnsi" w:cs="Arial"/>
          <w:color w:val="222222"/>
          <w:shd w:val="clear" w:color="auto" w:fill="FFFFFF"/>
        </w:rPr>
        <w:t>Kao, James T., Masayuki Miyazaki, and A. R. Chandrakasan. "A 175-mV multiply-accumulate unit using an adaptive supply voltage and body bias architecture." </w:t>
      </w:r>
      <w:r w:rsidR="008C5E53" w:rsidRPr="008C5E53">
        <w:rPr>
          <w:rFonts w:asciiTheme="majorHAnsi" w:eastAsia="Times New Roman" w:hAnsiTheme="majorHAnsi" w:cs="Arial"/>
          <w:i/>
          <w:iCs/>
          <w:color w:val="222222"/>
          <w:shd w:val="clear" w:color="auto" w:fill="FFFFFF"/>
        </w:rPr>
        <w:t>Solid-State Circuits, IEEE Journal of</w:t>
      </w:r>
      <w:r w:rsidR="008C5E53" w:rsidRPr="008C5E53">
        <w:rPr>
          <w:rFonts w:asciiTheme="majorHAnsi" w:eastAsia="Times New Roman" w:hAnsiTheme="majorHAnsi" w:cs="Arial"/>
          <w:color w:val="222222"/>
          <w:shd w:val="clear" w:color="auto" w:fill="FFFFFF"/>
        </w:rPr>
        <w:t> 37.11 (2002): 1545-1554. 11 Nov 2013</w:t>
      </w:r>
      <w:r w:rsidR="00FA6BEF">
        <w:rPr>
          <w:rFonts w:asciiTheme="majorHAnsi" w:eastAsia="Times New Roman" w:hAnsiTheme="majorHAnsi" w:cs="Arial"/>
          <w:color w:val="222222"/>
          <w:shd w:val="clear" w:color="auto" w:fill="FFFFFF"/>
        </w:rPr>
        <w:t>.</w:t>
      </w:r>
      <w:bookmarkStart w:id="0" w:name="_GoBack"/>
      <w:bookmarkEnd w:id="0"/>
    </w:p>
    <w:p w14:paraId="4D483904" w14:textId="77777777" w:rsidR="00930624" w:rsidRPr="008C5E53" w:rsidRDefault="00930624" w:rsidP="000E763F">
      <w:pPr>
        <w:spacing w:after="0" w:line="240" w:lineRule="auto"/>
        <w:rPr>
          <w:rFonts w:asciiTheme="majorHAnsi" w:eastAsia="Times New Roman" w:hAnsiTheme="majorHAnsi" w:cs="Times New Roman"/>
        </w:rPr>
      </w:pPr>
    </w:p>
    <w:p w14:paraId="47B91D1C" w14:textId="2989FE49" w:rsidR="007E3721" w:rsidRPr="008C5E53" w:rsidRDefault="000E763F" w:rsidP="000E763F">
      <w:pPr>
        <w:spacing w:after="0" w:line="240" w:lineRule="auto"/>
        <w:rPr>
          <w:rFonts w:asciiTheme="majorHAnsi" w:eastAsia="Times New Roman" w:hAnsiTheme="majorHAnsi" w:cs="Times New Roman"/>
        </w:rPr>
      </w:pPr>
      <w:r w:rsidRPr="008C5E53">
        <w:rPr>
          <w:rFonts w:asciiTheme="majorHAnsi" w:eastAsia="Times New Roman" w:hAnsiTheme="majorHAnsi" w:cs="Arial"/>
          <w:color w:val="222222"/>
          <w:shd w:val="clear" w:color="auto" w:fill="FFFFFF"/>
        </w:rPr>
        <w:t xml:space="preserve">[2] </w:t>
      </w:r>
      <w:r w:rsidR="007E3721" w:rsidRPr="008C5E53">
        <w:rPr>
          <w:rFonts w:asciiTheme="majorHAnsi" w:eastAsia="Times New Roman" w:hAnsiTheme="majorHAnsi" w:cs="Arial"/>
          <w:color w:val="222222"/>
          <w:shd w:val="clear" w:color="auto" w:fill="FFFFFF"/>
        </w:rPr>
        <w:t>Chen, Tom, and Samuel Naffziger. "Comparison of adaptive body bias (ABB) and adaptive supply voltage (ASV) for improving delay and leakage under the presence of process variation." </w:t>
      </w:r>
      <w:r w:rsidR="007E3721" w:rsidRPr="008C5E53">
        <w:rPr>
          <w:rFonts w:asciiTheme="majorHAnsi" w:eastAsia="Times New Roman" w:hAnsiTheme="majorHAnsi" w:cs="Arial"/>
          <w:i/>
          <w:iCs/>
          <w:color w:val="222222"/>
          <w:shd w:val="clear" w:color="auto" w:fill="FFFFFF"/>
        </w:rPr>
        <w:t>Very Large Scale Integration (VLSI) Systems, IEEE Transactions on</w:t>
      </w:r>
      <w:r w:rsidR="007E3721" w:rsidRPr="008C5E53">
        <w:rPr>
          <w:rFonts w:asciiTheme="majorHAnsi" w:eastAsia="Times New Roman" w:hAnsiTheme="majorHAnsi" w:cs="Arial"/>
          <w:color w:val="222222"/>
          <w:shd w:val="clear" w:color="auto" w:fill="FFFFFF"/>
        </w:rPr>
        <w:t> 11.5 (2003): 888-899.</w:t>
      </w:r>
      <w:r w:rsidR="009A4831" w:rsidRPr="008C5E53">
        <w:rPr>
          <w:rFonts w:asciiTheme="majorHAnsi" w:eastAsia="Times New Roman" w:hAnsiTheme="majorHAnsi" w:cs="Arial"/>
          <w:color w:val="222222"/>
          <w:shd w:val="clear" w:color="auto" w:fill="FFFFFF"/>
        </w:rPr>
        <w:t xml:space="preserve"> 11 Nov 2013.</w:t>
      </w:r>
    </w:p>
    <w:p w14:paraId="34DF802D" w14:textId="77777777" w:rsidR="007E3721" w:rsidRDefault="007E3721" w:rsidP="00506F55"/>
    <w:sectPr w:rsidR="007E37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F27D3"/>
    <w:multiLevelType w:val="hybridMultilevel"/>
    <w:tmpl w:val="9F4A75FC"/>
    <w:lvl w:ilvl="0" w:tplc="130ACEA8">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2EDC734D"/>
    <w:multiLevelType w:val="hybridMultilevel"/>
    <w:tmpl w:val="59C09498"/>
    <w:lvl w:ilvl="0" w:tplc="725EF5C0">
      <w:start w:val="1"/>
      <w:numFmt w:val="lowerLetter"/>
      <w:lvlText w:val="(%1)"/>
      <w:lvlJc w:val="left"/>
      <w:pPr>
        <w:ind w:left="2670" w:hanging="360"/>
      </w:pPr>
      <w:rPr>
        <w:rFonts w:hint="default"/>
      </w:rPr>
    </w:lvl>
    <w:lvl w:ilvl="1" w:tplc="04090019" w:tentative="1">
      <w:start w:val="1"/>
      <w:numFmt w:val="lowerLetter"/>
      <w:lvlText w:val="%2."/>
      <w:lvlJc w:val="left"/>
      <w:pPr>
        <w:ind w:left="3390" w:hanging="360"/>
      </w:pPr>
    </w:lvl>
    <w:lvl w:ilvl="2" w:tplc="0409001B" w:tentative="1">
      <w:start w:val="1"/>
      <w:numFmt w:val="lowerRoman"/>
      <w:lvlText w:val="%3."/>
      <w:lvlJc w:val="right"/>
      <w:pPr>
        <w:ind w:left="4110" w:hanging="180"/>
      </w:pPr>
    </w:lvl>
    <w:lvl w:ilvl="3" w:tplc="0409000F" w:tentative="1">
      <w:start w:val="1"/>
      <w:numFmt w:val="decimal"/>
      <w:lvlText w:val="%4."/>
      <w:lvlJc w:val="left"/>
      <w:pPr>
        <w:ind w:left="4830" w:hanging="360"/>
      </w:pPr>
    </w:lvl>
    <w:lvl w:ilvl="4" w:tplc="04090019" w:tentative="1">
      <w:start w:val="1"/>
      <w:numFmt w:val="lowerLetter"/>
      <w:lvlText w:val="%5."/>
      <w:lvlJc w:val="left"/>
      <w:pPr>
        <w:ind w:left="5550" w:hanging="360"/>
      </w:pPr>
    </w:lvl>
    <w:lvl w:ilvl="5" w:tplc="0409001B" w:tentative="1">
      <w:start w:val="1"/>
      <w:numFmt w:val="lowerRoman"/>
      <w:lvlText w:val="%6."/>
      <w:lvlJc w:val="right"/>
      <w:pPr>
        <w:ind w:left="6270" w:hanging="180"/>
      </w:pPr>
    </w:lvl>
    <w:lvl w:ilvl="6" w:tplc="0409000F" w:tentative="1">
      <w:start w:val="1"/>
      <w:numFmt w:val="decimal"/>
      <w:lvlText w:val="%7."/>
      <w:lvlJc w:val="left"/>
      <w:pPr>
        <w:ind w:left="6990" w:hanging="360"/>
      </w:pPr>
    </w:lvl>
    <w:lvl w:ilvl="7" w:tplc="04090019" w:tentative="1">
      <w:start w:val="1"/>
      <w:numFmt w:val="lowerLetter"/>
      <w:lvlText w:val="%8."/>
      <w:lvlJc w:val="left"/>
      <w:pPr>
        <w:ind w:left="7710" w:hanging="360"/>
      </w:pPr>
    </w:lvl>
    <w:lvl w:ilvl="8" w:tplc="0409001B" w:tentative="1">
      <w:start w:val="1"/>
      <w:numFmt w:val="lowerRoman"/>
      <w:lvlText w:val="%9."/>
      <w:lvlJc w:val="right"/>
      <w:pPr>
        <w:ind w:left="8430" w:hanging="180"/>
      </w:pPr>
    </w:lvl>
  </w:abstractNum>
  <w:abstractNum w:abstractNumId="2">
    <w:nsid w:val="79A17A5C"/>
    <w:multiLevelType w:val="hybridMultilevel"/>
    <w:tmpl w:val="6BC6ED14"/>
    <w:lvl w:ilvl="0" w:tplc="83409136">
      <w:start w:val="1"/>
      <w:numFmt w:val="lowerLetter"/>
      <w:lvlText w:val="(%1)"/>
      <w:lvlJc w:val="left"/>
      <w:pPr>
        <w:ind w:left="2625" w:hanging="360"/>
      </w:pPr>
      <w:rPr>
        <w:rFonts w:hint="default"/>
      </w:rPr>
    </w:lvl>
    <w:lvl w:ilvl="1" w:tplc="04090019" w:tentative="1">
      <w:start w:val="1"/>
      <w:numFmt w:val="lowerLetter"/>
      <w:lvlText w:val="%2."/>
      <w:lvlJc w:val="left"/>
      <w:pPr>
        <w:ind w:left="3345" w:hanging="360"/>
      </w:pPr>
    </w:lvl>
    <w:lvl w:ilvl="2" w:tplc="0409001B" w:tentative="1">
      <w:start w:val="1"/>
      <w:numFmt w:val="lowerRoman"/>
      <w:lvlText w:val="%3."/>
      <w:lvlJc w:val="right"/>
      <w:pPr>
        <w:ind w:left="4065" w:hanging="180"/>
      </w:pPr>
    </w:lvl>
    <w:lvl w:ilvl="3" w:tplc="0409000F" w:tentative="1">
      <w:start w:val="1"/>
      <w:numFmt w:val="decimal"/>
      <w:lvlText w:val="%4."/>
      <w:lvlJc w:val="left"/>
      <w:pPr>
        <w:ind w:left="4785" w:hanging="360"/>
      </w:pPr>
    </w:lvl>
    <w:lvl w:ilvl="4" w:tplc="04090019" w:tentative="1">
      <w:start w:val="1"/>
      <w:numFmt w:val="lowerLetter"/>
      <w:lvlText w:val="%5."/>
      <w:lvlJc w:val="left"/>
      <w:pPr>
        <w:ind w:left="5505" w:hanging="360"/>
      </w:pPr>
    </w:lvl>
    <w:lvl w:ilvl="5" w:tplc="0409001B" w:tentative="1">
      <w:start w:val="1"/>
      <w:numFmt w:val="lowerRoman"/>
      <w:lvlText w:val="%6."/>
      <w:lvlJc w:val="right"/>
      <w:pPr>
        <w:ind w:left="6225" w:hanging="180"/>
      </w:pPr>
    </w:lvl>
    <w:lvl w:ilvl="6" w:tplc="0409000F" w:tentative="1">
      <w:start w:val="1"/>
      <w:numFmt w:val="decimal"/>
      <w:lvlText w:val="%7."/>
      <w:lvlJc w:val="left"/>
      <w:pPr>
        <w:ind w:left="6945" w:hanging="360"/>
      </w:pPr>
    </w:lvl>
    <w:lvl w:ilvl="7" w:tplc="04090019" w:tentative="1">
      <w:start w:val="1"/>
      <w:numFmt w:val="lowerLetter"/>
      <w:lvlText w:val="%8."/>
      <w:lvlJc w:val="left"/>
      <w:pPr>
        <w:ind w:left="7665" w:hanging="360"/>
      </w:pPr>
    </w:lvl>
    <w:lvl w:ilvl="8" w:tplc="0409001B" w:tentative="1">
      <w:start w:val="1"/>
      <w:numFmt w:val="lowerRoman"/>
      <w:lvlText w:val="%9."/>
      <w:lvlJc w:val="right"/>
      <w:pPr>
        <w:ind w:left="8385" w:hanging="180"/>
      </w:pPr>
    </w:lvl>
  </w:abstractNum>
  <w:abstractNum w:abstractNumId="3">
    <w:nsid w:val="7C923CDD"/>
    <w:multiLevelType w:val="hybridMultilevel"/>
    <w:tmpl w:val="BCFE0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FC5"/>
    <w:rsid w:val="000075C1"/>
    <w:rsid w:val="000114B5"/>
    <w:rsid w:val="00025C36"/>
    <w:rsid w:val="00032DFD"/>
    <w:rsid w:val="00043162"/>
    <w:rsid w:val="00071A98"/>
    <w:rsid w:val="000721E2"/>
    <w:rsid w:val="000B5750"/>
    <w:rsid w:val="000E0F0B"/>
    <w:rsid w:val="000E763F"/>
    <w:rsid w:val="000F155B"/>
    <w:rsid w:val="000F512C"/>
    <w:rsid w:val="000F5FA5"/>
    <w:rsid w:val="001401B3"/>
    <w:rsid w:val="00142C54"/>
    <w:rsid w:val="00147B94"/>
    <w:rsid w:val="00160279"/>
    <w:rsid w:val="001645A4"/>
    <w:rsid w:val="00173D50"/>
    <w:rsid w:val="00195F65"/>
    <w:rsid w:val="001A19BA"/>
    <w:rsid w:val="001D0292"/>
    <w:rsid w:val="001F68E5"/>
    <w:rsid w:val="002110C8"/>
    <w:rsid w:val="00250722"/>
    <w:rsid w:val="002B147C"/>
    <w:rsid w:val="002D67A3"/>
    <w:rsid w:val="002E4D70"/>
    <w:rsid w:val="003135DA"/>
    <w:rsid w:val="00327E82"/>
    <w:rsid w:val="00360C99"/>
    <w:rsid w:val="00362B0A"/>
    <w:rsid w:val="00363334"/>
    <w:rsid w:val="003765C9"/>
    <w:rsid w:val="00377D16"/>
    <w:rsid w:val="00386A03"/>
    <w:rsid w:val="003C6129"/>
    <w:rsid w:val="003D4AAA"/>
    <w:rsid w:val="00410348"/>
    <w:rsid w:val="0041631C"/>
    <w:rsid w:val="00417F7B"/>
    <w:rsid w:val="00421388"/>
    <w:rsid w:val="0043682D"/>
    <w:rsid w:val="004507AE"/>
    <w:rsid w:val="00453D95"/>
    <w:rsid w:val="00457316"/>
    <w:rsid w:val="00457A2B"/>
    <w:rsid w:val="0046407C"/>
    <w:rsid w:val="004B4BC8"/>
    <w:rsid w:val="004C48E6"/>
    <w:rsid w:val="004F6FC5"/>
    <w:rsid w:val="00504132"/>
    <w:rsid w:val="00506ADB"/>
    <w:rsid w:val="00506F55"/>
    <w:rsid w:val="00520426"/>
    <w:rsid w:val="00523E35"/>
    <w:rsid w:val="00533379"/>
    <w:rsid w:val="00547101"/>
    <w:rsid w:val="00594F41"/>
    <w:rsid w:val="005B2ADA"/>
    <w:rsid w:val="005B71C5"/>
    <w:rsid w:val="006110DE"/>
    <w:rsid w:val="00611970"/>
    <w:rsid w:val="0061524E"/>
    <w:rsid w:val="00616957"/>
    <w:rsid w:val="0061721B"/>
    <w:rsid w:val="00643F80"/>
    <w:rsid w:val="006472BE"/>
    <w:rsid w:val="00647B2D"/>
    <w:rsid w:val="00692CFC"/>
    <w:rsid w:val="00692FFB"/>
    <w:rsid w:val="006D5FD5"/>
    <w:rsid w:val="00707C27"/>
    <w:rsid w:val="00707D3A"/>
    <w:rsid w:val="007133CF"/>
    <w:rsid w:val="00713985"/>
    <w:rsid w:val="00740D12"/>
    <w:rsid w:val="00742543"/>
    <w:rsid w:val="007541B0"/>
    <w:rsid w:val="007951F8"/>
    <w:rsid w:val="007B2585"/>
    <w:rsid w:val="007E369C"/>
    <w:rsid w:val="007E3721"/>
    <w:rsid w:val="007F193E"/>
    <w:rsid w:val="007F2E12"/>
    <w:rsid w:val="008027C6"/>
    <w:rsid w:val="0080619A"/>
    <w:rsid w:val="008251C8"/>
    <w:rsid w:val="00850152"/>
    <w:rsid w:val="008558B5"/>
    <w:rsid w:val="008612FA"/>
    <w:rsid w:val="0086215D"/>
    <w:rsid w:val="0086758F"/>
    <w:rsid w:val="00895DDF"/>
    <w:rsid w:val="008A626D"/>
    <w:rsid w:val="008B59F7"/>
    <w:rsid w:val="008B7AB4"/>
    <w:rsid w:val="008C5877"/>
    <w:rsid w:val="008C5E53"/>
    <w:rsid w:val="008E14F3"/>
    <w:rsid w:val="008F1CB4"/>
    <w:rsid w:val="009014C7"/>
    <w:rsid w:val="009054E7"/>
    <w:rsid w:val="00922518"/>
    <w:rsid w:val="00930624"/>
    <w:rsid w:val="00962575"/>
    <w:rsid w:val="00987BFF"/>
    <w:rsid w:val="00993BB1"/>
    <w:rsid w:val="009A4831"/>
    <w:rsid w:val="009C6DA3"/>
    <w:rsid w:val="009F3F9B"/>
    <w:rsid w:val="00A11F2F"/>
    <w:rsid w:val="00A26943"/>
    <w:rsid w:val="00A95A68"/>
    <w:rsid w:val="00A96AD1"/>
    <w:rsid w:val="00AC02B1"/>
    <w:rsid w:val="00AC1232"/>
    <w:rsid w:val="00AC36C4"/>
    <w:rsid w:val="00AE0F9A"/>
    <w:rsid w:val="00AE5E69"/>
    <w:rsid w:val="00AF4F61"/>
    <w:rsid w:val="00AF7412"/>
    <w:rsid w:val="00AF7941"/>
    <w:rsid w:val="00B45E35"/>
    <w:rsid w:val="00B502AB"/>
    <w:rsid w:val="00B50EEE"/>
    <w:rsid w:val="00B55123"/>
    <w:rsid w:val="00B5769C"/>
    <w:rsid w:val="00B75012"/>
    <w:rsid w:val="00B75BEF"/>
    <w:rsid w:val="00B87167"/>
    <w:rsid w:val="00B95F2D"/>
    <w:rsid w:val="00BA3742"/>
    <w:rsid w:val="00BA41B5"/>
    <w:rsid w:val="00BB2620"/>
    <w:rsid w:val="00BC5323"/>
    <w:rsid w:val="00BE45AB"/>
    <w:rsid w:val="00BF17B9"/>
    <w:rsid w:val="00BF2ADE"/>
    <w:rsid w:val="00C0397E"/>
    <w:rsid w:val="00C10412"/>
    <w:rsid w:val="00C149DD"/>
    <w:rsid w:val="00C275DF"/>
    <w:rsid w:val="00C61D2D"/>
    <w:rsid w:val="00C7090D"/>
    <w:rsid w:val="00C72B15"/>
    <w:rsid w:val="00CB1C85"/>
    <w:rsid w:val="00CB4FE9"/>
    <w:rsid w:val="00CE2095"/>
    <w:rsid w:val="00CF433F"/>
    <w:rsid w:val="00CF5038"/>
    <w:rsid w:val="00D12101"/>
    <w:rsid w:val="00D43EB0"/>
    <w:rsid w:val="00D4428E"/>
    <w:rsid w:val="00D4643B"/>
    <w:rsid w:val="00D511BE"/>
    <w:rsid w:val="00D61D31"/>
    <w:rsid w:val="00D642DE"/>
    <w:rsid w:val="00D65DA8"/>
    <w:rsid w:val="00D832D1"/>
    <w:rsid w:val="00D85C4B"/>
    <w:rsid w:val="00DA45BA"/>
    <w:rsid w:val="00DB2637"/>
    <w:rsid w:val="00DB4D30"/>
    <w:rsid w:val="00DB5214"/>
    <w:rsid w:val="00DC1389"/>
    <w:rsid w:val="00DD2C41"/>
    <w:rsid w:val="00DE4ED7"/>
    <w:rsid w:val="00DE7DAB"/>
    <w:rsid w:val="00E0706A"/>
    <w:rsid w:val="00E11BF4"/>
    <w:rsid w:val="00E305FE"/>
    <w:rsid w:val="00E336A4"/>
    <w:rsid w:val="00E338F9"/>
    <w:rsid w:val="00E36D3F"/>
    <w:rsid w:val="00E531D9"/>
    <w:rsid w:val="00E57980"/>
    <w:rsid w:val="00E865D9"/>
    <w:rsid w:val="00E9084D"/>
    <w:rsid w:val="00F03292"/>
    <w:rsid w:val="00F0439C"/>
    <w:rsid w:val="00F05B9C"/>
    <w:rsid w:val="00F171E3"/>
    <w:rsid w:val="00F25FA2"/>
    <w:rsid w:val="00F31FF9"/>
    <w:rsid w:val="00F40903"/>
    <w:rsid w:val="00F56E01"/>
    <w:rsid w:val="00F814D6"/>
    <w:rsid w:val="00F8719A"/>
    <w:rsid w:val="00FA6BEF"/>
    <w:rsid w:val="00FB040D"/>
    <w:rsid w:val="00FB2A29"/>
    <w:rsid w:val="00FD2820"/>
    <w:rsid w:val="00FE352C"/>
    <w:rsid w:val="00FE5E1C"/>
    <w:rsid w:val="00FF3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7D5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1C5"/>
    <w:rPr>
      <w:rFonts w:ascii="Tahoma" w:hAnsi="Tahoma" w:cs="Tahoma"/>
      <w:sz w:val="16"/>
      <w:szCs w:val="16"/>
    </w:rPr>
  </w:style>
  <w:style w:type="paragraph" w:styleId="ListParagraph">
    <w:name w:val="List Paragraph"/>
    <w:basedOn w:val="Normal"/>
    <w:uiPriority w:val="34"/>
    <w:qFormat/>
    <w:rsid w:val="00D85C4B"/>
    <w:pPr>
      <w:ind w:left="720"/>
      <w:contextualSpacing/>
    </w:pPr>
  </w:style>
  <w:style w:type="character" w:customStyle="1" w:styleId="apple-converted-space">
    <w:name w:val="apple-converted-space"/>
    <w:basedOn w:val="DefaultParagraphFont"/>
    <w:rsid w:val="007E37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1C5"/>
    <w:rPr>
      <w:rFonts w:ascii="Tahoma" w:hAnsi="Tahoma" w:cs="Tahoma"/>
      <w:sz w:val="16"/>
      <w:szCs w:val="16"/>
    </w:rPr>
  </w:style>
  <w:style w:type="paragraph" w:styleId="ListParagraph">
    <w:name w:val="List Paragraph"/>
    <w:basedOn w:val="Normal"/>
    <w:uiPriority w:val="34"/>
    <w:qFormat/>
    <w:rsid w:val="00D85C4B"/>
    <w:pPr>
      <w:ind w:left="720"/>
      <w:contextualSpacing/>
    </w:pPr>
  </w:style>
  <w:style w:type="character" w:customStyle="1" w:styleId="apple-converted-space">
    <w:name w:val="apple-converted-space"/>
    <w:basedOn w:val="DefaultParagraphFont"/>
    <w:rsid w:val="007E3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41697">
      <w:bodyDiv w:val="1"/>
      <w:marLeft w:val="0"/>
      <w:marRight w:val="0"/>
      <w:marTop w:val="0"/>
      <w:marBottom w:val="0"/>
      <w:divBdr>
        <w:top w:val="none" w:sz="0" w:space="0" w:color="auto"/>
        <w:left w:val="none" w:sz="0" w:space="0" w:color="auto"/>
        <w:bottom w:val="none" w:sz="0" w:space="0" w:color="auto"/>
        <w:right w:val="none" w:sz="0" w:space="0" w:color="auto"/>
      </w:divBdr>
    </w:div>
    <w:div w:id="10510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chart" Target="charts/chart1.xml"/><Relationship Id="rId10"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ndy\Documents\NANDFrequenc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Power vs. Frequency</a:t>
            </a:r>
          </a:p>
        </c:rich>
      </c:tx>
      <c:layout/>
      <c:overlay val="0"/>
    </c:title>
    <c:autoTitleDeleted val="0"/>
    <c:plotArea>
      <c:layout/>
      <c:scatterChart>
        <c:scatterStyle val="smoothMarker"/>
        <c:varyColors val="0"/>
        <c:ser>
          <c:idx val="0"/>
          <c:order val="0"/>
          <c:xVal>
            <c:numRef>
              <c:f>Sheet1!$W$7:$W$22</c:f>
              <c:numCache>
                <c:formatCode>0.00E+00</c:formatCode>
                <c:ptCount val="16"/>
                <c:pt idx="0">
                  <c:v>2.974E9</c:v>
                </c:pt>
                <c:pt idx="1">
                  <c:v>3.144E9</c:v>
                </c:pt>
                <c:pt idx="2">
                  <c:v>3.314E9</c:v>
                </c:pt>
                <c:pt idx="3">
                  <c:v>3.482E9</c:v>
                </c:pt>
                <c:pt idx="4">
                  <c:v>3.643E9</c:v>
                </c:pt>
                <c:pt idx="5">
                  <c:v>3.796E9</c:v>
                </c:pt>
                <c:pt idx="6">
                  <c:v>3.94E9</c:v>
                </c:pt>
                <c:pt idx="7">
                  <c:v>4.071E9</c:v>
                </c:pt>
                <c:pt idx="8">
                  <c:v>4.189E9</c:v>
                </c:pt>
                <c:pt idx="9">
                  <c:v>4.295E9</c:v>
                </c:pt>
                <c:pt idx="10">
                  <c:v>4.389E9</c:v>
                </c:pt>
                <c:pt idx="11">
                  <c:v>4.472E9</c:v>
                </c:pt>
                <c:pt idx="12">
                  <c:v>4.542E9</c:v>
                </c:pt>
                <c:pt idx="13">
                  <c:v>4.6E9</c:v>
                </c:pt>
                <c:pt idx="14">
                  <c:v>4.648E9</c:v>
                </c:pt>
                <c:pt idx="15">
                  <c:v>4.689E9</c:v>
                </c:pt>
              </c:numCache>
            </c:numRef>
          </c:xVal>
          <c:yVal>
            <c:numRef>
              <c:f>Sheet1!$X$7:$X$22</c:f>
              <c:numCache>
                <c:formatCode>0.00E+00</c:formatCode>
                <c:ptCount val="16"/>
                <c:pt idx="0">
                  <c:v>0.0001249</c:v>
                </c:pt>
                <c:pt idx="1">
                  <c:v>0.0001327</c:v>
                </c:pt>
                <c:pt idx="2">
                  <c:v>0.0001408</c:v>
                </c:pt>
                <c:pt idx="3">
                  <c:v>0.0001492</c:v>
                </c:pt>
                <c:pt idx="4">
                  <c:v>0.0001578</c:v>
                </c:pt>
                <c:pt idx="5">
                  <c:v>0.0001666</c:v>
                </c:pt>
                <c:pt idx="6">
                  <c:v>0.0001756</c:v>
                </c:pt>
                <c:pt idx="7">
                  <c:v>0.0001848</c:v>
                </c:pt>
                <c:pt idx="8">
                  <c:v>0.0001941</c:v>
                </c:pt>
                <c:pt idx="9">
                  <c:v>0.0002036</c:v>
                </c:pt>
                <c:pt idx="10">
                  <c:v>0.0002133</c:v>
                </c:pt>
                <c:pt idx="11">
                  <c:v>0.0002233</c:v>
                </c:pt>
                <c:pt idx="12">
                  <c:v>0.0002335</c:v>
                </c:pt>
                <c:pt idx="13">
                  <c:v>0.0002441</c:v>
                </c:pt>
                <c:pt idx="14">
                  <c:v>0.0002551</c:v>
                </c:pt>
                <c:pt idx="15">
                  <c:v>0.0002667</c:v>
                </c:pt>
              </c:numCache>
            </c:numRef>
          </c:yVal>
          <c:smooth val="1"/>
        </c:ser>
        <c:dLbls>
          <c:showLegendKey val="0"/>
          <c:showVal val="0"/>
          <c:showCatName val="0"/>
          <c:showSerName val="0"/>
          <c:showPercent val="0"/>
          <c:showBubbleSize val="0"/>
        </c:dLbls>
        <c:axId val="2062978376"/>
        <c:axId val="2083431048"/>
      </c:scatterChart>
      <c:valAx>
        <c:axId val="2062978376"/>
        <c:scaling>
          <c:orientation val="minMax"/>
          <c:min val="2.5E9"/>
        </c:scaling>
        <c:delete val="0"/>
        <c:axPos val="b"/>
        <c:title>
          <c:tx>
            <c:rich>
              <a:bodyPr/>
              <a:lstStyle/>
              <a:p>
                <a:pPr>
                  <a:defRPr/>
                </a:pPr>
                <a:r>
                  <a:rPr lang="en-US"/>
                  <a:t>Frequency (Hz)</a:t>
                </a:r>
              </a:p>
            </c:rich>
          </c:tx>
          <c:layout/>
          <c:overlay val="0"/>
        </c:title>
        <c:numFmt formatCode="0.00E+00" sourceLinked="1"/>
        <c:majorTickMark val="none"/>
        <c:minorTickMark val="none"/>
        <c:tickLblPos val="nextTo"/>
        <c:crossAx val="2083431048"/>
        <c:crosses val="autoZero"/>
        <c:crossBetween val="midCat"/>
      </c:valAx>
      <c:valAx>
        <c:axId val="2083431048"/>
        <c:scaling>
          <c:orientation val="minMax"/>
        </c:scaling>
        <c:delete val="0"/>
        <c:axPos val="l"/>
        <c:majorGridlines/>
        <c:title>
          <c:tx>
            <c:rich>
              <a:bodyPr/>
              <a:lstStyle/>
              <a:p>
                <a:pPr>
                  <a:defRPr/>
                </a:pPr>
                <a:r>
                  <a:rPr lang="en-US"/>
                  <a:t>Power (W)</a:t>
                </a:r>
              </a:p>
            </c:rich>
          </c:tx>
          <c:layout/>
          <c:overlay val="0"/>
        </c:title>
        <c:numFmt formatCode="0.00E+00" sourceLinked="1"/>
        <c:majorTickMark val="none"/>
        <c:minorTickMark val="none"/>
        <c:tickLblPos val="nextTo"/>
        <c:crossAx val="206297837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E81D7-B6ED-FC45-B1D9-F538CE01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1497</Words>
  <Characters>8533</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Elena Weinberg</cp:lastModifiedBy>
  <cp:revision>145</cp:revision>
  <dcterms:created xsi:type="dcterms:W3CDTF">2013-11-12T14:07:00Z</dcterms:created>
  <dcterms:modified xsi:type="dcterms:W3CDTF">2013-11-12T17:56:00Z</dcterms:modified>
</cp:coreProperties>
</file>